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038" w:rsidRDefault="00AF6594" w:rsidP="005A759A">
      <w:pPr>
        <w:autoSpaceDE w:val="0"/>
        <w:autoSpaceDN w:val="0"/>
        <w:adjustRightInd w:val="0"/>
        <w:spacing w:after="0" w:line="240" w:lineRule="auto"/>
        <w:ind w:left="-426"/>
        <w:rPr>
          <w:rFonts w:ascii="Times New Roman" w:hAnsi="Times New Roman" w:cs="Times New Roman"/>
          <w:b/>
          <w:bCs/>
        </w:rPr>
      </w:pPr>
      <w:r>
        <w:rPr>
          <w:rFonts w:ascii="Times New Roman" w:hAnsi="Times New Roman" w:cs="Times New Roman"/>
          <w:b/>
          <w:bCs/>
        </w:rPr>
        <w:tab/>
      </w:r>
      <w:r w:rsidR="0088695F">
        <w:rPr>
          <w:rFonts w:ascii="Times New Roman" w:hAnsi="Times New Roman" w:cs="Times New Roman"/>
          <w:b/>
          <w:bCs/>
        </w:rPr>
        <w:t xml:space="preserve"> </w:t>
      </w:r>
    </w:p>
    <w:p w:rsidR="003F2938" w:rsidRDefault="00DA4951" w:rsidP="005A759A">
      <w:pPr>
        <w:autoSpaceDE w:val="0"/>
        <w:autoSpaceDN w:val="0"/>
        <w:adjustRightInd w:val="0"/>
        <w:spacing w:after="0" w:line="240" w:lineRule="auto"/>
        <w:ind w:left="-426"/>
        <w:rPr>
          <w:rFonts w:ascii="Times New Roman" w:hAnsi="Times New Roman" w:cs="Times New Roman"/>
          <w:b/>
          <w:bCs/>
        </w:rPr>
      </w:pPr>
      <w:r>
        <w:rPr>
          <w:rFonts w:ascii="Times New Roman" w:hAnsi="Times New Roman" w:cs="Times New Roman"/>
          <w:b/>
          <w:bCs/>
        </w:rPr>
        <w:t>The enquiry is subject to our general terms &amp; conditions of enquiry as well as general terms and conditions of purchase order as enclosed for ready reference. The enquiry shall also be subject to the following special conditions:</w:t>
      </w:r>
    </w:p>
    <w:tbl>
      <w:tblPr>
        <w:tblStyle w:val="TableGrid"/>
        <w:tblW w:w="11625" w:type="dxa"/>
        <w:tblInd w:w="-998" w:type="dxa"/>
        <w:tblLook w:val="04A0" w:firstRow="1" w:lastRow="0" w:firstColumn="1" w:lastColumn="0" w:noHBand="0" w:noVBand="1"/>
      </w:tblPr>
      <w:tblGrid>
        <w:gridCol w:w="851"/>
        <w:gridCol w:w="10774"/>
      </w:tblGrid>
      <w:tr w:rsidR="004C1249" w:rsidTr="00D94F72">
        <w:trPr>
          <w:trHeight w:val="702"/>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pStyle w:val="NormalWeb"/>
              <w:spacing w:before="0" w:beforeAutospacing="0" w:after="0" w:afterAutospacing="0"/>
              <w:jc w:val="both"/>
              <w:rPr>
                <w:rFonts w:ascii="Tahoma" w:hAnsi="Tahoma" w:cs="Tahoma"/>
                <w:b/>
                <w:bCs/>
              </w:rPr>
            </w:pPr>
            <w:r>
              <w:rPr>
                <w:rFonts w:ascii="Tahoma" w:hAnsi="Tahoma" w:cs="Tahoma"/>
                <w:b/>
                <w:bCs/>
              </w:rPr>
              <w:t xml:space="preserve">ENQUIRY NO. </w:t>
            </w:r>
            <w:r w:rsidRPr="00D847E4">
              <w:rPr>
                <w:rFonts w:ascii="Tahoma" w:hAnsi="Tahoma" w:cs="Tahoma"/>
                <w:b/>
                <w:bCs/>
              </w:rPr>
              <w:t xml:space="preserve"> </w:t>
            </w:r>
            <w:r w:rsidR="00467D19" w:rsidRPr="00FF1A11">
              <w:rPr>
                <w:rFonts w:ascii="Tahoma" w:hAnsi="Tahoma" w:cs="Tahoma"/>
                <w:b/>
                <w:bCs/>
              </w:rPr>
              <w:t xml:space="preserve">E5103003R1 FOR RATE CONTRACT OF BRUSH GEAR LEAD SET AS PER BHEL DRG. NO. </w:t>
            </w:r>
            <w:r w:rsidR="008B493C" w:rsidRPr="008B493C">
              <w:rPr>
                <w:rFonts w:ascii="Tahoma" w:hAnsi="Tahoma" w:cs="Tahoma"/>
                <w:b/>
                <w:bCs/>
              </w:rPr>
              <w:t xml:space="preserve">34393080005 REV. 04. </w:t>
            </w:r>
            <w:r w:rsidR="00467D19" w:rsidRPr="00FF1A11">
              <w:rPr>
                <w:rFonts w:ascii="Tahoma" w:hAnsi="Tahoma" w:cs="Tahoma"/>
                <w:b/>
                <w:bCs/>
              </w:rPr>
              <w:t>ONE SET CONSIST OF ITEM 1, 3 AND 4 OF VAR.</w:t>
            </w:r>
            <w:r w:rsidR="000F51CC">
              <w:rPr>
                <w:rFonts w:ascii="Tahoma" w:hAnsi="Tahoma" w:cs="Tahoma"/>
                <w:b/>
                <w:bCs/>
              </w:rPr>
              <w:t xml:space="preserve"> </w:t>
            </w:r>
            <w:r w:rsidR="00467D19" w:rsidRPr="00FF1A11">
              <w:rPr>
                <w:rFonts w:ascii="Tahoma" w:hAnsi="Tahoma" w:cs="Tahoma"/>
                <w:b/>
                <w:bCs/>
              </w:rPr>
              <w:t>00 AND ITEM 02, 03 &amp; 04 OF VAR.</w:t>
            </w:r>
            <w:r w:rsidR="000F51CC">
              <w:rPr>
                <w:rFonts w:ascii="Tahoma" w:hAnsi="Tahoma" w:cs="Tahoma"/>
                <w:b/>
                <w:bCs/>
              </w:rPr>
              <w:t xml:space="preserve"> </w:t>
            </w:r>
            <w:r w:rsidR="00467D19" w:rsidRPr="00FF1A11">
              <w:rPr>
                <w:rFonts w:ascii="Tahoma" w:hAnsi="Tahoma" w:cs="Tahoma"/>
                <w:b/>
                <w:bCs/>
              </w:rPr>
              <w:t>01. EQUAL QTY OF VAR. 00 AND VAR. 01 TO BE SUPPLIED IN EACH LOT.</w:t>
            </w:r>
            <w:r w:rsidR="00EA51C1" w:rsidRPr="00EA51C1">
              <w:rPr>
                <w:rFonts w:ascii="Tahoma" w:hAnsi="Tahoma" w:cs="Tahoma"/>
                <w:b/>
                <w:bCs/>
              </w:rPr>
              <w:t xml:space="preserve"> </w:t>
            </w:r>
            <w:r w:rsidR="00362CB1">
              <w:rPr>
                <w:rFonts w:ascii="Tahoma" w:hAnsi="Tahoma" w:cs="Tahoma"/>
                <w:b/>
                <w:bCs/>
              </w:rPr>
              <w:t xml:space="preserve">REVERSE AUCTION SHALL NOT BE IMPLEMENTED FOR DETERMINING L-1 VENDOR IN </w:t>
            </w:r>
            <w:r w:rsidR="00362CB1" w:rsidRPr="00362CB1">
              <w:rPr>
                <w:rFonts w:ascii="Tahoma" w:hAnsi="Tahoma" w:cs="Tahoma"/>
                <w:b/>
                <w:bCs/>
              </w:rPr>
              <w:t>E</w:t>
            </w:r>
            <w:r w:rsidR="00362CB1">
              <w:rPr>
                <w:rFonts w:ascii="Tahoma" w:hAnsi="Tahoma" w:cs="Tahoma"/>
                <w:b/>
                <w:bCs/>
              </w:rPr>
              <w:t>NQUIRY</w:t>
            </w:r>
            <w:r w:rsidR="00362CB1" w:rsidRPr="00362CB1">
              <w:rPr>
                <w:rFonts w:ascii="Tahoma" w:hAnsi="Tahoma" w:cs="Tahoma"/>
                <w:b/>
                <w:bCs/>
              </w:rPr>
              <w:t xml:space="preserve"> N</w:t>
            </w:r>
            <w:r w:rsidR="00362CB1">
              <w:rPr>
                <w:rFonts w:ascii="Tahoma" w:hAnsi="Tahoma" w:cs="Tahoma"/>
                <w:b/>
                <w:bCs/>
              </w:rPr>
              <w:t>O</w:t>
            </w:r>
            <w:r w:rsidR="00467D19">
              <w:rPr>
                <w:rFonts w:ascii="Tahoma" w:hAnsi="Tahoma" w:cs="Tahoma"/>
                <w:b/>
                <w:bCs/>
              </w:rPr>
              <w:t>. E510300</w:t>
            </w:r>
            <w:r w:rsidR="00362CB1" w:rsidRPr="00362CB1">
              <w:rPr>
                <w:rFonts w:ascii="Tahoma" w:hAnsi="Tahoma" w:cs="Tahoma"/>
                <w:b/>
                <w:bCs/>
              </w:rPr>
              <w:t>3</w:t>
            </w:r>
            <w:r w:rsidR="00467D19">
              <w:rPr>
                <w:rFonts w:ascii="Tahoma" w:hAnsi="Tahoma" w:cs="Tahoma"/>
                <w:b/>
                <w:bCs/>
              </w:rPr>
              <w:t>R1</w:t>
            </w:r>
            <w:r w:rsidR="00362CB1">
              <w:rPr>
                <w:rFonts w:ascii="Tahoma" w:hAnsi="Tahoma" w:cs="Tahoma"/>
                <w:b/>
                <w:bCs/>
              </w:rPr>
              <w:t>.</w:t>
            </w:r>
          </w:p>
          <w:p w:rsidR="00362CB1" w:rsidRDefault="00362CB1" w:rsidP="004C1249">
            <w:pPr>
              <w:pStyle w:val="NormalWeb"/>
              <w:spacing w:before="0" w:beforeAutospacing="0" w:after="0" w:afterAutospacing="0"/>
              <w:jc w:val="both"/>
              <w:rPr>
                <w:rFonts w:ascii="Tahoma" w:hAnsi="Tahoma" w:cs="Tahoma"/>
                <w:b/>
                <w:bCs/>
              </w:rPr>
            </w:pPr>
          </w:p>
          <w:p w:rsidR="004C1249" w:rsidRPr="006F6914" w:rsidRDefault="004C1249" w:rsidP="004C1249">
            <w:pPr>
              <w:pStyle w:val="NormalWeb"/>
              <w:spacing w:before="0" w:beforeAutospacing="0" w:after="0" w:afterAutospacing="0"/>
              <w:jc w:val="both"/>
              <w:rPr>
                <w:rFonts w:ascii="Tahoma" w:hAnsi="Tahoma" w:cs="Tahoma"/>
                <w:b/>
                <w:bCs/>
              </w:rPr>
            </w:pPr>
            <w:r w:rsidRPr="006F6914">
              <w:rPr>
                <w:rFonts w:ascii="Tahoma" w:hAnsi="Tahoma" w:cs="Tahoma"/>
                <w:b/>
                <w:bCs/>
              </w:rPr>
              <w:t xml:space="preserve">RATE CONTRACT IS TO BE KEPT VALID FOR ORDERING UPTO 12 MONTHS FROM RATE CONTRACT FREEZE DATE. ORDERING WILL BE DONE AGAINST FIRM REQUIREMENT AS &amp; WHEN NEEDED. </w:t>
            </w:r>
            <w:r w:rsidRPr="00EA3DE3">
              <w:rPr>
                <w:rFonts w:ascii="Tahoma" w:hAnsi="Tahoma" w:cs="Tahoma"/>
                <w:b/>
                <w:bCs/>
              </w:rPr>
              <w:t>RATE CONTRACT TO BE FINALIZED ON TWO SOURCES WITH QUANTITY DISTRIBUTION RATIO OF 65% &amp; 35% TO L-1 AND OTHER BIDDER ACCEPTING L-1 RATES RESPECTIVLEY</w:t>
            </w:r>
            <w:r w:rsidR="00EA51C1">
              <w:rPr>
                <w:rFonts w:ascii="Tahoma" w:hAnsi="Tahoma" w:cs="Tahoma"/>
                <w:b/>
                <w:bCs/>
              </w:rPr>
              <w:t>, SUBJECT TO MINIMUM 3 QUALIFIED BIDDERS</w:t>
            </w:r>
            <w:r w:rsidRPr="00EA3DE3">
              <w:rPr>
                <w:rFonts w:ascii="Tahoma" w:hAnsi="Tahoma" w:cs="Tahoma"/>
                <w:b/>
                <w:bCs/>
              </w:rPr>
              <w:t xml:space="preserve">. </w:t>
            </w:r>
            <w:r w:rsidR="00D03087" w:rsidRPr="00EA3DE3">
              <w:rPr>
                <w:rFonts w:ascii="Tahoma" w:hAnsi="Tahoma" w:cs="Tahoma"/>
                <w:b/>
                <w:bCs/>
              </w:rPr>
              <w:t>FOR ASCERTAINING BIDDER FOR 35% QUANTITY, HESG</w:t>
            </w:r>
            <w:r w:rsidR="00D03087">
              <w:rPr>
                <w:rFonts w:ascii="Tahoma" w:hAnsi="Tahoma" w:cs="Tahoma"/>
                <w:b/>
                <w:bCs/>
              </w:rPr>
              <w:t xml:space="preserve"> EQUIVALENT </w:t>
            </w:r>
            <w:r w:rsidR="00D03087" w:rsidRPr="00EA3DE3">
              <w:rPr>
                <w:rFonts w:ascii="Tahoma" w:hAnsi="Tahoma" w:cs="Tahoma"/>
                <w:b/>
                <w:bCs/>
              </w:rPr>
              <w:t xml:space="preserve">RATES OF L-1 BIDDER WILL BE SEQUENTIALLY COUNTER-OFFERED TO L-2, L-3 AND SO ON </w:t>
            </w:r>
            <w:r w:rsidR="00D03087">
              <w:rPr>
                <w:rFonts w:ascii="Tahoma" w:hAnsi="Tahoma" w:cs="Tahoma"/>
                <w:b/>
                <w:bCs/>
              </w:rPr>
              <w:t xml:space="preserve">SEQUENTIALLY </w:t>
            </w:r>
            <w:r w:rsidR="00D03087" w:rsidRPr="00EA3DE3">
              <w:rPr>
                <w:rFonts w:ascii="Tahoma" w:hAnsi="Tahoma" w:cs="Tahoma"/>
                <w:b/>
                <w:bCs/>
              </w:rPr>
              <w:t>UNTILL ANY BIDDER ACCEPTS THE SAME.</w:t>
            </w:r>
            <w:r w:rsidR="00D03087">
              <w:rPr>
                <w:rFonts w:ascii="Tahoma" w:hAnsi="Tahoma" w:cs="Tahoma"/>
                <w:b/>
                <w:bCs/>
              </w:rPr>
              <w:t xml:space="preserve"> </w:t>
            </w:r>
            <w:r w:rsidR="00EA51C1">
              <w:rPr>
                <w:rFonts w:ascii="Tahoma" w:hAnsi="Tahoma" w:cs="Tahoma"/>
                <w:b/>
                <w:bCs/>
              </w:rPr>
              <w:t xml:space="preserve">INCASE OF ONLY 2 QUALFIED BIDDERS, BHEL RESERVES THE RIGHT FOR DISTRIBUTION AMONG 2 BIDDERS. IN CASE OF ONLY ONE QUALFIFIED BIDDER OR </w:t>
            </w:r>
            <w:r w:rsidR="00EA51C1" w:rsidRPr="00EA3DE3">
              <w:rPr>
                <w:rFonts w:ascii="Tahoma" w:hAnsi="Tahoma" w:cs="Tahoma"/>
                <w:b/>
                <w:bCs/>
              </w:rPr>
              <w:t>IN CASE NO BIDDER AGREES TO ACCEPT THE COUNTEROFFER</w:t>
            </w:r>
            <w:r w:rsidR="00D03087">
              <w:rPr>
                <w:rFonts w:ascii="Tahoma" w:hAnsi="Tahoma" w:cs="Tahoma"/>
                <w:b/>
                <w:bCs/>
              </w:rPr>
              <w:t xml:space="preserve">ED </w:t>
            </w:r>
            <w:r w:rsidR="00D03087" w:rsidRPr="00EA3DE3">
              <w:rPr>
                <w:rFonts w:ascii="Tahoma" w:hAnsi="Tahoma" w:cs="Tahoma"/>
                <w:b/>
                <w:bCs/>
              </w:rPr>
              <w:t>HESG</w:t>
            </w:r>
            <w:r w:rsidR="00D03087">
              <w:rPr>
                <w:rFonts w:ascii="Tahoma" w:hAnsi="Tahoma" w:cs="Tahoma"/>
                <w:b/>
                <w:bCs/>
              </w:rPr>
              <w:t xml:space="preserve"> EQUIVALENT </w:t>
            </w:r>
            <w:r w:rsidR="00D03087" w:rsidRPr="00EA3DE3">
              <w:rPr>
                <w:rFonts w:ascii="Tahoma" w:hAnsi="Tahoma" w:cs="Tahoma"/>
                <w:b/>
                <w:bCs/>
              </w:rPr>
              <w:t>RATES OF L-1</w:t>
            </w:r>
            <w:r w:rsidR="00EA51C1" w:rsidRPr="00EA3DE3">
              <w:rPr>
                <w:rFonts w:ascii="Tahoma" w:hAnsi="Tahoma" w:cs="Tahoma"/>
                <w:b/>
                <w:bCs/>
              </w:rPr>
              <w:t xml:space="preserve">, </w:t>
            </w:r>
            <w:r w:rsidR="00EA51C1">
              <w:rPr>
                <w:rFonts w:ascii="Tahoma" w:hAnsi="Tahoma" w:cs="Tahoma"/>
                <w:b/>
                <w:bCs/>
              </w:rPr>
              <w:t xml:space="preserve">BHEL MAY DECIED TO AWARD </w:t>
            </w:r>
            <w:r w:rsidR="00EA51C1" w:rsidRPr="00EA3DE3">
              <w:rPr>
                <w:rFonts w:ascii="Tahoma" w:hAnsi="Tahoma" w:cs="Tahoma"/>
                <w:b/>
                <w:bCs/>
              </w:rPr>
              <w:t>ENTIRE 100% QUANTITY TO L-1 BIDDER FOR THAT SPECIFIC ITEM.</w:t>
            </w:r>
            <w:r w:rsidR="002D7FAC">
              <w:rPr>
                <w:rFonts w:ascii="Tahoma" w:hAnsi="Tahoma" w:cs="Tahoma"/>
                <w:b/>
                <w:bCs/>
              </w:rPr>
              <w:t xml:space="preserve"> REFER </w:t>
            </w:r>
            <w:r w:rsidR="002D7FAC" w:rsidRPr="002D7FAC">
              <w:rPr>
                <w:rFonts w:ascii="Tahoma" w:hAnsi="Tahoma" w:cs="Tahoma"/>
                <w:b/>
                <w:bCs/>
              </w:rPr>
              <w:t>ANNEXURE FOR DISTRIBUTION</w:t>
            </w:r>
            <w:r w:rsidRPr="00EA3DE3">
              <w:rPr>
                <w:rFonts w:ascii="Tahoma" w:hAnsi="Tahoma" w:cs="Tahoma"/>
                <w:b/>
                <w:bCs/>
              </w:rPr>
              <w:t xml:space="preserve"> </w:t>
            </w:r>
            <w:r w:rsidR="002D7FAC">
              <w:rPr>
                <w:rFonts w:ascii="Tahoma" w:hAnsi="Tahoma" w:cs="Tahoma"/>
                <w:b/>
                <w:bCs/>
              </w:rPr>
              <w:t xml:space="preserve">AS ATTACHED WITH NIT DOCUMENTS. </w:t>
            </w:r>
            <w:r w:rsidRPr="006F6914">
              <w:rPr>
                <w:rFonts w:ascii="Tahoma" w:hAnsi="Tahoma" w:cs="Tahoma"/>
                <w:b/>
                <w:bCs/>
              </w:rPr>
              <w:t xml:space="preserve">RATE CONTRACT CAN BE SHORT CLOSED AT ANY TIME WITHOUT ASSINGING REASONS WHATSOEVER IT MAY BE. RATE CONTRACT QUANTITY </w:t>
            </w:r>
            <w:r>
              <w:rPr>
                <w:rFonts w:ascii="Tahoma" w:hAnsi="Tahoma" w:cs="Tahoma"/>
                <w:b/>
                <w:bCs/>
              </w:rPr>
              <w:t>IS TENTATIVE &amp; MAY VARY BY +/-25</w:t>
            </w:r>
            <w:r w:rsidRPr="006F6914">
              <w:rPr>
                <w:rFonts w:ascii="Tahoma" w:hAnsi="Tahoma" w:cs="Tahoma"/>
                <w:b/>
                <w:bCs/>
              </w:rPr>
              <w:t>% OR SO.</w:t>
            </w:r>
          </w:p>
          <w:p w:rsidR="004C1249" w:rsidRDefault="004C1249" w:rsidP="004C1249">
            <w:pPr>
              <w:pStyle w:val="NormalWeb"/>
              <w:spacing w:before="0" w:beforeAutospacing="0" w:after="0" w:afterAutospacing="0"/>
              <w:jc w:val="both"/>
              <w:rPr>
                <w:rFonts w:ascii="Tahoma" w:hAnsi="Tahoma" w:cs="Tahoma"/>
                <w:b/>
                <w:bCs/>
              </w:rPr>
            </w:pPr>
          </w:p>
          <w:p w:rsidR="00FF1A11" w:rsidRDefault="00EA51C1" w:rsidP="00FF1A11">
            <w:pPr>
              <w:pStyle w:val="NormalWeb"/>
              <w:spacing w:before="0" w:beforeAutospacing="0" w:after="0" w:afterAutospacing="0"/>
              <w:jc w:val="both"/>
              <w:rPr>
                <w:rFonts w:ascii="Tahoma" w:hAnsi="Tahoma" w:cs="Tahoma"/>
                <w:b/>
                <w:bCs/>
              </w:rPr>
            </w:pPr>
            <w:r>
              <w:rPr>
                <w:rFonts w:ascii="Tahoma" w:hAnsi="Tahoma" w:cs="Tahoma"/>
                <w:b/>
                <w:bCs/>
              </w:rPr>
              <w:t xml:space="preserve">PRICE BASIS : FIRM PRICE. </w:t>
            </w:r>
            <w:r w:rsidR="00F561D6">
              <w:rPr>
                <w:rFonts w:ascii="Tahoma" w:hAnsi="Tahoma" w:cs="Tahoma"/>
                <w:b/>
                <w:bCs/>
              </w:rPr>
              <w:t xml:space="preserve">QUANTITY : 220 </w:t>
            </w:r>
            <w:r w:rsidR="00DC1703">
              <w:rPr>
                <w:rFonts w:ascii="Tahoma" w:hAnsi="Tahoma" w:cs="Tahoma"/>
                <w:b/>
                <w:bCs/>
              </w:rPr>
              <w:t>SET</w:t>
            </w:r>
            <w:r w:rsidR="00F561D6">
              <w:rPr>
                <w:rFonts w:ascii="Tahoma" w:hAnsi="Tahoma" w:cs="Tahoma"/>
                <w:b/>
                <w:bCs/>
              </w:rPr>
              <w:t>S</w:t>
            </w:r>
            <w:r w:rsidR="00F561D6" w:rsidRPr="0058707C">
              <w:rPr>
                <w:rFonts w:ascii="Tahoma" w:hAnsi="Tahoma" w:cs="Tahoma"/>
                <w:b/>
                <w:bCs/>
              </w:rPr>
              <w:t xml:space="preserve">. </w:t>
            </w:r>
            <w:r w:rsidR="00F561D6" w:rsidRPr="009B0246">
              <w:rPr>
                <w:rFonts w:ascii="Tahoma" w:hAnsi="Tahoma" w:cs="Tahoma"/>
                <w:b/>
                <w:bCs/>
              </w:rPr>
              <w:t xml:space="preserve">MAXIMUM QUANTITY : </w:t>
            </w:r>
            <w:r w:rsidR="00F561D6">
              <w:rPr>
                <w:rFonts w:ascii="Tahoma" w:hAnsi="Tahoma" w:cs="Tahoma"/>
                <w:b/>
                <w:bCs/>
              </w:rPr>
              <w:t>220 + 25</w:t>
            </w:r>
            <w:r w:rsidR="00F561D6" w:rsidRPr="009B0246">
              <w:rPr>
                <w:rFonts w:ascii="Tahoma" w:hAnsi="Tahoma" w:cs="Tahoma"/>
                <w:b/>
                <w:bCs/>
              </w:rPr>
              <w:t xml:space="preserve">% I. E. </w:t>
            </w:r>
            <w:r w:rsidR="00F561D6">
              <w:rPr>
                <w:rFonts w:ascii="Tahoma" w:hAnsi="Tahoma" w:cs="Tahoma"/>
                <w:b/>
                <w:bCs/>
              </w:rPr>
              <w:t>275</w:t>
            </w:r>
            <w:r w:rsidR="00F561D6" w:rsidRPr="009B0246">
              <w:rPr>
                <w:rFonts w:ascii="Tahoma" w:hAnsi="Tahoma" w:cs="Tahoma"/>
                <w:b/>
                <w:bCs/>
              </w:rPr>
              <w:t xml:space="preserve"> </w:t>
            </w:r>
            <w:r w:rsidR="00DC1703">
              <w:rPr>
                <w:rFonts w:ascii="Tahoma" w:hAnsi="Tahoma" w:cs="Tahoma"/>
                <w:b/>
                <w:bCs/>
              </w:rPr>
              <w:t>SET</w:t>
            </w:r>
            <w:bookmarkStart w:id="0" w:name="_GoBack"/>
            <w:bookmarkEnd w:id="0"/>
            <w:r w:rsidR="00F561D6" w:rsidRPr="009B0246">
              <w:rPr>
                <w:rFonts w:ascii="Tahoma" w:hAnsi="Tahoma" w:cs="Tahoma"/>
                <w:b/>
                <w:bCs/>
              </w:rPr>
              <w:t xml:space="preserve">S. </w:t>
            </w:r>
            <w:r w:rsidR="00F561D6" w:rsidRPr="006175F3">
              <w:rPr>
                <w:rFonts w:ascii="Tahoma" w:hAnsi="Tahoma" w:cs="Tahoma"/>
                <w:b/>
                <w:bCs/>
              </w:rPr>
              <w:t>DELIVERY REQUIRED</w:t>
            </w:r>
            <w:r w:rsidR="00F561D6">
              <w:rPr>
                <w:rFonts w:ascii="Tahoma" w:hAnsi="Tahoma" w:cs="Tahoma"/>
                <w:b/>
                <w:bCs/>
              </w:rPr>
              <w:t xml:space="preserve"> </w:t>
            </w:r>
            <w:r w:rsidR="00F561D6" w:rsidRPr="006175F3">
              <w:rPr>
                <w:rFonts w:ascii="Tahoma" w:hAnsi="Tahoma" w:cs="Tahoma"/>
                <w:b/>
                <w:bCs/>
              </w:rPr>
              <w:t xml:space="preserve">: </w:t>
            </w:r>
            <w:r w:rsidR="00F561D6" w:rsidRPr="009B0246">
              <w:rPr>
                <w:rFonts w:ascii="Tahoma" w:hAnsi="Tahoma" w:cs="Tahoma"/>
                <w:b/>
                <w:bCs/>
              </w:rPr>
              <w:t xml:space="preserve">DELIVERY SHALL BE WITHIN 60 DAYS FROM DATE OF PO FOR FIRST LOT OF </w:t>
            </w:r>
            <w:r w:rsidR="00F561D6">
              <w:rPr>
                <w:rFonts w:ascii="Tahoma" w:hAnsi="Tahoma" w:cs="Tahoma"/>
                <w:b/>
                <w:bCs/>
              </w:rPr>
              <w:t>11</w:t>
            </w:r>
            <w:r w:rsidR="00F561D6" w:rsidRPr="009B0246">
              <w:rPr>
                <w:rFonts w:ascii="Tahoma" w:hAnsi="Tahoma" w:cs="Tahoma"/>
                <w:b/>
                <w:bCs/>
              </w:rPr>
              <w:t xml:space="preserve">0 NOS. AND THEREAFTER EACH SUBSEQUENT LOT OF </w:t>
            </w:r>
            <w:r w:rsidR="00F561D6">
              <w:rPr>
                <w:rFonts w:ascii="Tahoma" w:hAnsi="Tahoma" w:cs="Tahoma"/>
                <w:b/>
                <w:bCs/>
              </w:rPr>
              <w:t>11</w:t>
            </w:r>
            <w:r w:rsidR="00F561D6" w:rsidRPr="009B0246">
              <w:rPr>
                <w:rFonts w:ascii="Tahoma" w:hAnsi="Tahoma" w:cs="Tahoma"/>
                <w:b/>
                <w:bCs/>
              </w:rPr>
              <w:t xml:space="preserve">0 NOS. SHALL BE WITHIN NEXT 30 DAYS FROM THE EARLIER LOT. </w:t>
            </w:r>
            <w:r w:rsidR="004C1249">
              <w:rPr>
                <w:rFonts w:ascii="Tahoma" w:hAnsi="Tahoma" w:cs="Tahoma"/>
                <w:b/>
                <w:bCs/>
              </w:rPr>
              <w:t>B</w:t>
            </w:r>
            <w:r w:rsidR="004C1249" w:rsidRPr="003B0881">
              <w:rPr>
                <w:rFonts w:ascii="Tahoma" w:hAnsi="Tahoma" w:cs="Tahoma"/>
                <w:b/>
                <w:bCs/>
              </w:rPr>
              <w:t>ID SHOULD BE SUBMITTED</w:t>
            </w:r>
            <w:r w:rsidR="004C1249" w:rsidRPr="009B0246">
              <w:rPr>
                <w:rFonts w:ascii="Tahoma" w:hAnsi="Tahoma" w:cs="Tahoma"/>
                <w:b/>
                <w:bCs/>
              </w:rPr>
              <w:t xml:space="preserve"> </w:t>
            </w:r>
            <w:r w:rsidR="004C1249" w:rsidRPr="003B0881">
              <w:rPr>
                <w:rFonts w:ascii="Tahoma" w:hAnsi="Tahoma" w:cs="Tahoma"/>
                <w:b/>
                <w:bCs/>
              </w:rPr>
              <w:t>ONLY THROUGH E-PROCUREMENT</w:t>
            </w:r>
            <w:r w:rsidR="004C1249" w:rsidRPr="003B0881">
              <w:t xml:space="preserve"> </w:t>
            </w:r>
            <w:r w:rsidR="004C1249" w:rsidRPr="003B0881">
              <w:rPr>
                <w:rFonts w:ascii="Tahoma" w:hAnsi="Tahoma" w:cs="Tahoma"/>
                <w:b/>
                <w:bCs/>
              </w:rPr>
              <w:t>SITE</w:t>
            </w:r>
            <w:r w:rsidR="004C1249" w:rsidRPr="003B0881">
              <w:t xml:space="preserve"> </w:t>
            </w:r>
            <w:hyperlink r:id="rId8" w:history="1">
              <w:r w:rsidR="004C1249" w:rsidRPr="00A81DEB">
                <w:rPr>
                  <w:rStyle w:val="Hyperlink"/>
                  <w:b/>
                  <w:bCs/>
                </w:rPr>
                <w:t>https://bhel.abcprocure.com/EPROC/</w:t>
              </w:r>
            </w:hyperlink>
            <w:r w:rsidR="004C1249" w:rsidRPr="003B0881">
              <w:rPr>
                <w:rStyle w:val="Hyperlink"/>
              </w:rPr>
              <w:t xml:space="preserve">. </w:t>
            </w:r>
            <w:r w:rsidR="004C1249" w:rsidRPr="003B0881">
              <w:rPr>
                <w:rFonts w:ascii="Tahoma" w:hAnsi="Tahoma" w:cs="Tahoma"/>
                <w:b/>
                <w:bCs/>
              </w:rPr>
              <w:t>PLEASE SUBMIT YOUR TENDER IN 2 PART BID ON FIRM PRICE BASIS ONLY</w:t>
            </w:r>
            <w:r w:rsidR="004C1249" w:rsidRPr="006049E2">
              <w:rPr>
                <w:rFonts w:ascii="Tahoma" w:hAnsi="Tahoma" w:cs="Tahoma"/>
                <w:b/>
                <w:bCs/>
              </w:rPr>
              <w:t xml:space="preserve"> GENERAL / SPECIAL T &amp; C OF ENQUIRY / PO ALONGWITH ANNEXURE - A ARE ENCLOSED. PLEASE FILL UP THE ANNEXURE-A PROPERLY AND SEND IT ALONGWITH YOUR OFFER. </w:t>
            </w:r>
            <w:r w:rsidR="004C1249" w:rsidRPr="000004EA">
              <w:rPr>
                <w:rFonts w:ascii="Tahoma" w:hAnsi="Tahoma" w:cs="Tahoma"/>
                <w:b/>
                <w:bCs/>
              </w:rPr>
              <w:t>IDENTIFICATION MU</w:t>
            </w:r>
            <w:r w:rsidR="004C1249">
              <w:rPr>
                <w:rFonts w:ascii="Tahoma" w:hAnsi="Tahoma" w:cs="Tahoma"/>
                <w:b/>
                <w:bCs/>
              </w:rPr>
              <w:t xml:space="preserve">ST. </w:t>
            </w:r>
            <w:r w:rsidR="004C1249" w:rsidRPr="00D01FF1">
              <w:rPr>
                <w:rFonts w:ascii="Tahoma" w:hAnsi="Tahoma" w:cs="Tahoma"/>
                <w:b/>
                <w:bCs/>
              </w:rPr>
              <w:t>INSPECTION</w:t>
            </w:r>
            <w:r w:rsidR="004C1249">
              <w:rPr>
                <w:rFonts w:ascii="Tahoma" w:hAnsi="Tahoma" w:cs="Tahoma"/>
                <w:b/>
                <w:bCs/>
              </w:rPr>
              <w:t xml:space="preserve"> </w:t>
            </w:r>
            <w:r w:rsidR="004C1249" w:rsidRPr="007A03D3">
              <w:rPr>
                <w:rFonts w:ascii="Tahoma" w:hAnsi="Tahoma" w:cs="Tahoma"/>
                <w:b/>
                <w:bCs/>
              </w:rPr>
              <w:t>BY TPIA AT VENDORS WORKS</w:t>
            </w:r>
            <w:r w:rsidR="004C1249">
              <w:rPr>
                <w:rFonts w:ascii="Tahoma" w:hAnsi="Tahoma" w:cs="Tahoma"/>
                <w:b/>
                <w:bCs/>
              </w:rPr>
              <w:t>.</w:t>
            </w:r>
            <w:r w:rsidR="004C1249" w:rsidRPr="00FA3B97">
              <w:rPr>
                <w:rFonts w:ascii="Tahoma" w:hAnsi="Tahoma" w:cs="Tahoma"/>
                <w:b/>
                <w:bCs/>
              </w:rPr>
              <w:t xml:space="preserve"> </w:t>
            </w:r>
            <w:r w:rsidR="004C1249" w:rsidRPr="006049E2">
              <w:rPr>
                <w:rFonts w:ascii="Tahoma" w:hAnsi="Tahoma" w:cs="Tahoma"/>
                <w:b/>
                <w:bCs/>
              </w:rPr>
              <w:t xml:space="preserve">IN CASE OF REJECTION OF MATERIAL, SUPPLIER TO ENSURE THAT MATERIAL SHOULD BE TAKEN BACK MAXIMUM WITHIN 2 WEEKS AFTER COMMUNICATION FOR RECTIFICATION/REPLACEMENT &amp; SUPPLY BACK THE RECTIFIED/FRESH MATERIAL TO BHEL BHOPAL WITHIN 30 DAYS FROM REJECTION. IN EVENT OF NON-LIFTING OF REJECTED MATERIAL BY SUPPLIER, BHEL WILL NOT BE RESPONSIBLE FOR LOSS OF SUCH ITEMS TO </w:t>
            </w:r>
            <w:r w:rsidR="004C1249">
              <w:rPr>
                <w:rFonts w:ascii="Tahoma" w:hAnsi="Tahoma" w:cs="Tahoma"/>
                <w:b/>
                <w:bCs/>
              </w:rPr>
              <w:t xml:space="preserve">THE SUPPLIER IN ANY CASE. </w:t>
            </w:r>
            <w:r w:rsidR="00FF1A11" w:rsidRPr="00986AC6">
              <w:rPr>
                <w:rFonts w:ascii="Tahoma" w:hAnsi="Tahoma" w:cs="Tahoma"/>
                <w:b/>
                <w:bCs/>
              </w:rPr>
              <w:t xml:space="preserve">QAP </w:t>
            </w:r>
            <w:r w:rsidR="00FF1A11">
              <w:rPr>
                <w:rFonts w:ascii="Tahoma" w:hAnsi="Tahoma" w:cs="Tahoma"/>
                <w:b/>
                <w:bCs/>
              </w:rPr>
              <w:t xml:space="preserve">– </w:t>
            </w:r>
            <w:r w:rsidR="00FF1A11" w:rsidRPr="00880B81">
              <w:rPr>
                <w:rFonts w:ascii="Tahoma" w:hAnsi="Tahoma" w:cs="Tahoma"/>
                <w:b/>
                <w:bCs/>
              </w:rPr>
              <w:t>AS PER ATTACHED QA PLAN NO. QTM/TXM/VENDOR/QAP/2016-17/TM4303/BRUSH GEAR LEAD DT 12.08.2016 REV 01. REFERENCE DRG. NO. 34393080005.</w:t>
            </w:r>
          </w:p>
          <w:p w:rsidR="004C1249" w:rsidRDefault="004C1249" w:rsidP="004C1249">
            <w:pPr>
              <w:pStyle w:val="NormalWeb"/>
              <w:spacing w:before="0" w:beforeAutospacing="0" w:after="0" w:afterAutospacing="0"/>
              <w:jc w:val="both"/>
              <w:rPr>
                <w:rFonts w:ascii="Tahoma" w:hAnsi="Tahoma" w:cs="Tahoma"/>
                <w:b/>
                <w:bCs/>
              </w:rPr>
            </w:pPr>
          </w:p>
          <w:p w:rsidR="004C1249" w:rsidRDefault="004C1249" w:rsidP="004C1249">
            <w:pPr>
              <w:pStyle w:val="NormalWeb"/>
              <w:spacing w:before="0" w:beforeAutospacing="0" w:after="0" w:afterAutospacing="0"/>
              <w:jc w:val="both"/>
              <w:rPr>
                <w:rFonts w:ascii="Tahoma" w:hAnsi="Tahoma" w:cs="Tahoma"/>
                <w:b/>
                <w:bCs/>
              </w:rPr>
            </w:pPr>
            <w:r>
              <w:rPr>
                <w:rFonts w:ascii="Tahoma" w:hAnsi="Tahoma" w:cs="Tahoma"/>
                <w:b/>
                <w:bCs/>
              </w:rPr>
              <w:lastRenderedPageBreak/>
              <w:t>THE BIDDER / SUPPLIER / CONTRACTOR WILL, WHEN PRESENTING THE BID ARE TO MADATORILY FILL THE DECLARATION WHETHER OR NOT OTHER FAMILY FIRMS OR SISTER CONCERN AFFILIATES / SUBSIDIARY FIRMS ARE PARTICIPATING IN THE SAME TENDER, SO AS TO ELIMINATE THE POSSIBILITY OF CARTEL FORMATION. THE FORMAT FOR DECLARATION IN AVAILABLE IN THE NIT DOCUMENTS FOR THIS ENQUIRY.</w:t>
            </w:r>
          </w:p>
          <w:p w:rsidR="004C1249" w:rsidRPr="00D01FF1" w:rsidRDefault="004C1249" w:rsidP="004C1249">
            <w:pPr>
              <w:pStyle w:val="NormalWeb"/>
              <w:spacing w:before="0" w:beforeAutospacing="0" w:after="0" w:afterAutospacing="0"/>
              <w:jc w:val="both"/>
              <w:rPr>
                <w:rFonts w:ascii="Tahoma" w:hAnsi="Tahoma" w:cs="Tahoma"/>
                <w:b/>
                <w:bCs/>
              </w:rPr>
            </w:pPr>
          </w:p>
          <w:p w:rsidR="004C1249" w:rsidRPr="00C32CC8" w:rsidRDefault="004C1249" w:rsidP="004C1249">
            <w:pPr>
              <w:pStyle w:val="NormalWeb"/>
              <w:spacing w:before="0" w:beforeAutospacing="0" w:after="0" w:afterAutospacing="0"/>
              <w:jc w:val="both"/>
              <w:rPr>
                <w:rFonts w:ascii="Courier New" w:hAnsi="Courier New" w:cs="Courier New"/>
                <w:b/>
                <w:bCs/>
                <w:color w:val="000000"/>
                <w:shd w:val="clear" w:color="auto" w:fill="FFFFFF"/>
              </w:rPr>
            </w:pPr>
            <w:r w:rsidRPr="004C1249">
              <w:rPr>
                <w:rFonts w:ascii="Courier New" w:hAnsi="Courier New" w:cs="Courier New"/>
                <w:b/>
                <w:bCs/>
                <w:color w:val="000000"/>
                <w:shd w:val="clear" w:color="auto" w:fill="FFFFFF"/>
              </w:rPr>
              <w:t>"No request for extension of tender due date will be entertained after due date and time of tender opening under any circumstances. Hence all vendors are requested to submit their bid well within due date and time only."</w:t>
            </w:r>
          </w:p>
        </w:tc>
      </w:tr>
      <w:tr w:rsidR="004C1249" w:rsidTr="00D94F72">
        <w:trPr>
          <w:trHeight w:val="702"/>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b/>
                <w:bCs/>
              </w:rPr>
            </w:pPr>
            <w:r>
              <w:rPr>
                <w:rFonts w:ascii="Times New Roman" w:hAnsi="Times New Roman" w:cs="Times New Roman"/>
              </w:rPr>
              <w:t>Vendors who are not registered with BHEL are required to submit registration form duly (available at BHEL website www.bhelbpl.co.in) filled in all respect along with offer. In case of any deficiency observed in the registration form and documents during its evaluation, the offer of such vendor will not be considered.</w:t>
            </w:r>
          </w:p>
        </w:tc>
      </w:tr>
      <w:tr w:rsidR="004C1249" w:rsidTr="00D94F72">
        <w:trPr>
          <w:trHeight w:val="420"/>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rPr>
            </w:pPr>
            <w:r>
              <w:rPr>
                <w:rFonts w:ascii="Times New Roman" w:hAnsi="Times New Roman" w:cs="Times New Roman"/>
              </w:rPr>
              <w:t>Despite inspection by BHEL and or their authorized representative /customer at supplier works, final inspection will be done at BHEL works. This condition is to be essentially complied with.</w:t>
            </w:r>
          </w:p>
        </w:tc>
      </w:tr>
      <w:tr w:rsidR="004C1249" w:rsidTr="00D94F72">
        <w:trPr>
          <w:trHeight w:val="420"/>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b/>
              </w:rPr>
            </w:pPr>
            <w:r>
              <w:rPr>
                <w:rFonts w:ascii="Times New Roman" w:hAnsi="Times New Roman" w:cs="Times New Roman"/>
                <w:b/>
              </w:rPr>
              <w:t>Please clearly mention the Delivery Schedule from the PO placement date indicating what will be the quantity and lead time to supply 1st Lot and at what rate it will be supplied.</w:t>
            </w:r>
          </w:p>
        </w:tc>
      </w:tr>
      <w:tr w:rsidR="004C1249" w:rsidTr="00D94F72">
        <w:trPr>
          <w:trHeight w:val="490"/>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b/>
              </w:rPr>
            </w:pPr>
            <w:r>
              <w:rPr>
                <w:rFonts w:ascii="Times New Roman" w:hAnsi="Times New Roman" w:cs="Times New Roman"/>
                <w:b/>
              </w:rPr>
              <w:t>Bidders should quote preferably on FOR destination, duly insured basis. BHEL reserves the right to load Ex-Works bids suitably or consider as deemed appropriate.</w:t>
            </w:r>
          </w:p>
        </w:tc>
      </w:tr>
      <w:tr w:rsidR="004C1249" w:rsidTr="00D94F72">
        <w:trPr>
          <w:trHeight w:val="614"/>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rPr>
            </w:pPr>
            <w:r>
              <w:rPr>
                <w:rFonts w:ascii="Times New Roman" w:hAnsi="Times New Roman" w:cs="Times New Roman"/>
                <w:b/>
                <w:u w:val="single"/>
              </w:rPr>
              <w:t>MSE suppliers can avail the intended benefits only if</w:t>
            </w:r>
            <w:r>
              <w:rPr>
                <w:rFonts w:ascii="Times New Roman" w:hAnsi="Times New Roman" w:cs="Times New Roman"/>
              </w:rPr>
              <w:t xml:space="preserve"> they submit along with offer, attested copies of either EM II certificate having deemed validity (five years from the date of issue of acknowledgement in EM-II) or valid NSIC certificate or EM II certificate along with attested copy of CA certificate (Format enclosed as per Annexure – I where deemed validity of EM-II certificate of five years has expired) applicable for the relevant financial year (latest audited). Date to be reckoned for determining the deemed validity will be the date of bid opening ( Part-1 in case of two part bid). Non submission of such documents will lead to consideration of their bid at par with other bidders. No benefit shall be applicable for this enquiry if any deficiency in the above required documents are not submitted before price bid opening. If the tender is to be submitted through e-procurement portal, then the above required documents are to be uploaded on the portal. Documents should be notarized or attested by a Gazetted officer.</w:t>
            </w:r>
          </w:p>
        </w:tc>
      </w:tr>
      <w:tr w:rsidR="004C1249" w:rsidTr="00D94F72">
        <w:trPr>
          <w:trHeight w:val="398"/>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rPr>
            </w:pPr>
            <w:r>
              <w:rPr>
                <w:rFonts w:ascii="Times New Roman" w:hAnsi="Times New Roman" w:cs="Times New Roman"/>
                <w:b/>
              </w:rPr>
              <w:t>Offer to be submitted strictly in two bid system only. However, for quotations submitted in single bid against our requirement of two-bid will be considered only if the bid is techno-commercially accepted without seeking any clarifications from the vendor. Otherwise the bid is liable to be rejected.</w:t>
            </w:r>
          </w:p>
        </w:tc>
      </w:tr>
      <w:tr w:rsidR="004C1249" w:rsidTr="00D94F72">
        <w:trPr>
          <w:trHeight w:val="275"/>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bCs/>
              </w:rPr>
            </w:pPr>
            <w:r>
              <w:rPr>
                <w:rFonts w:ascii="Times New Roman" w:hAnsi="Times New Roman" w:cs="Times New Roman"/>
                <w:bCs/>
              </w:rPr>
              <w:t>During scrutiny of offer, suppliers are supposed to reply for clarifications, if any, within the stipulated time.</w:t>
            </w:r>
          </w:p>
        </w:tc>
      </w:tr>
      <w:tr w:rsidR="004C1249" w:rsidTr="00D94F72">
        <w:trPr>
          <w:trHeight w:val="812"/>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jc w:val="both"/>
              <w:rPr>
                <w:rFonts w:ascii="Times New Roman" w:hAnsi="Times New Roman" w:cs="Times New Roman"/>
                <w:b/>
              </w:rPr>
            </w:pPr>
            <w:r>
              <w:rPr>
                <w:rFonts w:ascii="Times New Roman" w:hAnsi="Times New Roman" w:cs="Times New Roman"/>
              </w:rPr>
              <w:t>In case of technical/commercial deviations vendors have to be point wise separately indicated under the Heading “Technical/Commercial Deviations” along with reasons for taking such deviations. Bidders shall also quote the cost of withdrawal of deviation in the Price bid however “quoted” to be indicated in the unprice bid (i.e Part-I). In case the cost of withdrawal has not been indicated by the bidders no claim for price implication against withdrawal of deviations may be considered. Also refer clause ‘2.G’ of General Terms and conditions of Enquiry.</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autoSpaceDE w:val="0"/>
              <w:autoSpaceDN w:val="0"/>
              <w:adjustRightInd w:val="0"/>
              <w:rPr>
                <w:rFonts w:ascii="Times New Roman" w:hAnsi="Times New Roman" w:cs="Times New Roman"/>
              </w:rPr>
            </w:pPr>
            <w:r>
              <w:rPr>
                <w:rFonts w:ascii="Times New Roman" w:hAnsi="Times New Roman" w:cs="Times New Roman"/>
              </w:rPr>
              <w:t xml:space="preserve">The bidder along with its associate/collaborators/sub-contractors/sub vendors/consultants/service providers shall strictly adhere to BHEL Fraud Prevention Policy displayed on BHEL Website </w:t>
            </w:r>
            <w:hyperlink r:id="rId9" w:history="1">
              <w:r>
                <w:rPr>
                  <w:rStyle w:val="Hyperlink"/>
                  <w:rFonts w:ascii="Times New Roman" w:hAnsi="Times New Roman" w:cs="Times New Roman"/>
                </w:rPr>
                <w:t>http://www.bhel.com</w:t>
              </w:r>
            </w:hyperlink>
            <w:r>
              <w:rPr>
                <w:rFonts w:ascii="Times New Roman" w:hAnsi="Times New Roman" w:cs="Times New Roman"/>
              </w:rPr>
              <w:t xml:space="preserve"> and shall immediately bring to the notice of BHEL management about any fraud or suspected fraud as soon as it comes to their notice.</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Pr="00D052CA" w:rsidRDefault="004C1249" w:rsidP="004C1249">
            <w:pPr>
              <w:pStyle w:val="NormalWeb"/>
              <w:jc w:val="both"/>
              <w:rPr>
                <w:i/>
                <w:iCs/>
              </w:rPr>
            </w:pPr>
            <w:r w:rsidRPr="0088054C">
              <w:rPr>
                <w:i/>
                <w:iCs/>
              </w:rPr>
              <w:t>For this procurement, Public Procurement (Preference to Make in India) Order</w:t>
            </w:r>
            <w:r>
              <w:rPr>
                <w:i/>
                <w:iCs/>
              </w:rPr>
              <w:t xml:space="preserve"> (PPP-MII Order),</w:t>
            </w:r>
            <w:r w:rsidRPr="0088054C">
              <w:rPr>
                <w:i/>
                <w:iCs/>
              </w:rPr>
              <w:t xml:space="preserve"> 2017 </w:t>
            </w:r>
            <w:r>
              <w:rPr>
                <w:i/>
                <w:iCs/>
              </w:rPr>
              <w:t xml:space="preserve">vide No. P-45021/2/2017-B.E.-II </w:t>
            </w:r>
            <w:r w:rsidRPr="0088054C">
              <w:rPr>
                <w:i/>
                <w:iCs/>
              </w:rPr>
              <w:t>dated 15.06.2017, 28.05.2018</w:t>
            </w:r>
            <w:r>
              <w:rPr>
                <w:i/>
                <w:iCs/>
              </w:rPr>
              <w:t xml:space="preserve">, </w:t>
            </w:r>
            <w:r w:rsidRPr="0088054C">
              <w:rPr>
                <w:i/>
                <w:iCs/>
              </w:rPr>
              <w:t>29.05.2019</w:t>
            </w:r>
            <w:r>
              <w:rPr>
                <w:i/>
                <w:iCs/>
              </w:rPr>
              <w:t xml:space="preserve"> &amp; 04.06.2020</w:t>
            </w:r>
            <w:r w:rsidRPr="0088054C">
              <w:rPr>
                <w:i/>
                <w:iCs/>
              </w:rPr>
              <w:t xml:space="preserve"> and subsequent Orders issued by the respective Nodal Ministry shall be applicable even if issued after issue of this NIT but before finalization of contract/PO/WO against this NIT.</w:t>
            </w:r>
          </w:p>
          <w:p w:rsidR="004C1249" w:rsidRPr="00414A9F" w:rsidRDefault="004C1249" w:rsidP="004C1249">
            <w:pPr>
              <w:pStyle w:val="NormalWeb"/>
              <w:jc w:val="both"/>
              <w:rPr>
                <w:i/>
                <w:iCs/>
              </w:rPr>
            </w:pPr>
            <w:r w:rsidRPr="00A86482">
              <w:rPr>
                <w:i/>
                <w:iCs/>
              </w:rPr>
              <w:t>In the event of any Nodal Ministry prescribing higher or lower percentage of purchase preference and / or local content in respect of this procurement, same shall be applicable.</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pStyle w:val="NormalWeb"/>
              <w:jc w:val="both"/>
              <w:rPr>
                <w:i/>
                <w:iCs/>
              </w:rPr>
            </w:pPr>
            <w:r>
              <w:rPr>
                <w:i/>
                <w:iCs/>
              </w:rPr>
              <w:t>Vendors to also inform :</w:t>
            </w:r>
          </w:p>
          <w:p w:rsidR="004C1249" w:rsidRDefault="004C1249" w:rsidP="004C1249">
            <w:pPr>
              <w:numPr>
                <w:ilvl w:val="0"/>
                <w:numId w:val="5"/>
              </w:numPr>
              <w:jc w:val="both"/>
              <w:rPr>
                <w:b/>
                <w:bCs/>
              </w:rPr>
            </w:pPr>
            <w:r>
              <w:rPr>
                <w:b/>
                <w:bCs/>
              </w:rPr>
              <w:t>S</w:t>
            </w:r>
            <w:r w:rsidRPr="002A784C">
              <w:rPr>
                <w:b/>
                <w:bCs/>
              </w:rPr>
              <w:t>elf certif</w:t>
            </w:r>
            <w:r>
              <w:rPr>
                <w:b/>
                <w:bCs/>
              </w:rPr>
              <w:t xml:space="preserve">ication of </w:t>
            </w:r>
            <w:r w:rsidRPr="002A784C">
              <w:rPr>
                <w:b/>
                <w:bCs/>
              </w:rPr>
              <w:t xml:space="preserve"> Minimum Local content if more than 50%</w:t>
            </w:r>
            <w:r>
              <w:rPr>
                <w:b/>
                <w:bCs/>
              </w:rPr>
              <w:t xml:space="preserve"> </w:t>
            </w:r>
            <w:r w:rsidRPr="002A784C">
              <w:rPr>
                <w:b/>
                <w:bCs/>
              </w:rPr>
              <w:t>: Yes/ No</w:t>
            </w:r>
            <w:r>
              <w:rPr>
                <w:b/>
                <w:bCs/>
              </w:rPr>
              <w:t>.</w:t>
            </w:r>
          </w:p>
          <w:p w:rsidR="004C1249" w:rsidRPr="001859D8" w:rsidRDefault="004C1249" w:rsidP="004C1249">
            <w:pPr>
              <w:numPr>
                <w:ilvl w:val="0"/>
                <w:numId w:val="5"/>
              </w:numPr>
              <w:jc w:val="both"/>
              <w:rPr>
                <w:b/>
                <w:bCs/>
              </w:rPr>
            </w:pPr>
            <w:r>
              <w:rPr>
                <w:b/>
                <w:bCs/>
              </w:rPr>
              <w:t>S</w:t>
            </w:r>
            <w:r w:rsidRPr="002A784C">
              <w:rPr>
                <w:b/>
                <w:bCs/>
              </w:rPr>
              <w:t>pell out details of location of value addition.</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Pr="00D052CA" w:rsidRDefault="004C1249" w:rsidP="004C1249">
            <w:pPr>
              <w:jc w:val="both"/>
              <w:rPr>
                <w:b/>
                <w:bCs/>
              </w:rPr>
            </w:pPr>
            <w:r w:rsidRPr="00D052CA">
              <w:rPr>
                <w:b/>
                <w:bCs/>
              </w:rPr>
              <w:t>Margin of purchase preference to make in India is 20% as per Govt. of India Order No. P-45021/2/2017-BE-II DTD 15.06.17, 28.05.2018, 29.05.2019 &amp; 04.06.2020 and subsequent Orders issued by the respective Nodal Ministry. Suppliers to comply &amp; take a note of the same.</w:t>
            </w:r>
          </w:p>
          <w:p w:rsidR="004C1249" w:rsidRPr="00921CC5" w:rsidRDefault="004C1249" w:rsidP="004C1249">
            <w:pPr>
              <w:jc w:val="both"/>
              <w:rPr>
                <w:b/>
                <w:bCs/>
              </w:rPr>
            </w:pP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Pr="002A784C" w:rsidRDefault="004C1249" w:rsidP="004C1249">
            <w:pPr>
              <w:jc w:val="both"/>
              <w:rPr>
                <w:b/>
                <w:bCs/>
              </w:rPr>
            </w:pPr>
            <w:r w:rsidRPr="002A784C">
              <w:rPr>
                <w:b/>
                <w:bCs/>
              </w:rPr>
              <w:t>Bidders or successors can be debarred fo</w:t>
            </w:r>
            <w:r>
              <w:rPr>
                <w:b/>
                <w:bCs/>
              </w:rPr>
              <w:t xml:space="preserve">r false declarations for up to </w:t>
            </w:r>
            <w:r w:rsidRPr="002A784C">
              <w:rPr>
                <w:b/>
                <w:bCs/>
              </w:rPr>
              <w:t>2 years. Debarred suppliers not eligible for preference in any other procuring entity.</w:t>
            </w:r>
          </w:p>
          <w:p w:rsidR="004C1249" w:rsidRPr="002A784C" w:rsidRDefault="004C1249" w:rsidP="004C1249">
            <w:pPr>
              <w:jc w:val="both"/>
              <w:rPr>
                <w:b/>
                <w:bCs/>
              </w:rPr>
            </w:pP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Pr="002A784C" w:rsidRDefault="004C1249" w:rsidP="004C1249">
            <w:pPr>
              <w:jc w:val="both"/>
              <w:rPr>
                <w:b/>
                <w:bCs/>
              </w:rPr>
            </w:pPr>
            <w:r w:rsidRPr="008660B5">
              <w:rPr>
                <w:b/>
                <w:bCs/>
              </w:rPr>
              <w:t>No request for extension of tender due date will be entertained after due date and time of tender opening under any circumstances. Hence all vendors are requested to submit their bid well within due date and time only</w:t>
            </w:r>
            <w:r>
              <w:rPr>
                <w:b/>
                <w:bCs/>
              </w:rPr>
              <w:t>.</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Pr="00B1079B" w:rsidRDefault="004C1249" w:rsidP="004C1249">
            <w:pPr>
              <w:jc w:val="both"/>
              <w:rPr>
                <w:b/>
                <w:bCs/>
              </w:rPr>
            </w:pPr>
            <w:r w:rsidRPr="00B1079B">
              <w:rPr>
                <w:b/>
                <w:bCs/>
              </w:rPr>
              <w:t xml:space="preserve">The bidder/supplier/contractor will, when presenting his bid, declare whether other family firms or sister concern affiliates/subsidiary firms are participating in the same tender, so as to eliminate the possibility of cartel formation. Format for declaration is </w:t>
            </w:r>
            <w:r>
              <w:rPr>
                <w:b/>
                <w:bCs/>
              </w:rPr>
              <w:t>available in the NIT documents for this enquiry</w:t>
            </w:r>
            <w:r w:rsidRPr="00B1079B">
              <w:rPr>
                <w:b/>
                <w:bCs/>
              </w:rPr>
              <w:t>.</w:t>
            </w:r>
          </w:p>
          <w:p w:rsidR="004C1249" w:rsidRPr="008660B5" w:rsidRDefault="004C1249" w:rsidP="004C1249">
            <w:pPr>
              <w:jc w:val="both"/>
              <w:rPr>
                <w:b/>
                <w:bCs/>
              </w:rPr>
            </w:pP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jc w:val="both"/>
            </w:pPr>
            <w:r>
              <w:t>As you are kindly aware that Government e-Marketplace (GeM) is a one stop portal to facilitate online procurement of Goods &amp; Services required by various Government Departments/ Organizations/ PSUs. GeM aims to enhance transparency, efficiency and speed in public procurement. Detailed Instructions/ Guides/ Videos/ FAQs for registration and processes are available on the portal (</w:t>
            </w:r>
            <w:hyperlink r:id="rId10" w:history="1">
              <w:r w:rsidRPr="00ED065B">
                <w:rPr>
                  <w:rStyle w:val="Hyperlink"/>
                </w:rPr>
                <w:t>https://gem.gov.in</w:t>
              </w:r>
            </w:hyperlink>
            <w:r>
              <w:t>).</w:t>
            </w:r>
          </w:p>
          <w:p w:rsidR="004C1249" w:rsidRPr="00281282" w:rsidRDefault="004C1249" w:rsidP="004C1249">
            <w:pPr>
              <w:jc w:val="both"/>
              <w:rPr>
                <w:sz w:val="16"/>
                <w:szCs w:val="16"/>
              </w:rPr>
            </w:pPr>
          </w:p>
          <w:p w:rsidR="004C1249" w:rsidRDefault="004C1249" w:rsidP="004C1249">
            <w:pPr>
              <w:jc w:val="both"/>
            </w:pPr>
            <w:r>
              <w:t>BHEL being a PSU, would like that its suppliers/ contractors also have visibility on this portal so that GeM can be used for procurement by BHEL.</w:t>
            </w:r>
          </w:p>
          <w:p w:rsidR="004C1249" w:rsidRPr="00281282" w:rsidRDefault="004C1249" w:rsidP="004C1249">
            <w:pPr>
              <w:jc w:val="both"/>
              <w:rPr>
                <w:sz w:val="16"/>
                <w:szCs w:val="16"/>
              </w:rPr>
            </w:pPr>
          </w:p>
          <w:p w:rsidR="004C1249" w:rsidRPr="00281282" w:rsidRDefault="004C1249" w:rsidP="004C1249">
            <w:r>
              <w:t>Hence, you are requested to get yourselves registered on GeM.</w:t>
            </w: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jc w:val="both"/>
            </w:pPr>
            <w:r w:rsidRPr="00D76302">
              <w:rPr>
                <w:b/>
                <w:bCs/>
              </w:rPr>
              <w:t xml:space="preserve">EVALUATION IN CASE OF MORE THAN ONE L-1 BIDDER </w:t>
            </w:r>
            <w:r w:rsidRPr="00D76302">
              <w:t xml:space="preserve">: </w:t>
            </w:r>
          </w:p>
          <w:p w:rsidR="004C1249" w:rsidRDefault="004C1249" w:rsidP="004C1249">
            <w:pPr>
              <w:jc w:val="both"/>
            </w:pPr>
          </w:p>
          <w:p w:rsidR="004C1249" w:rsidRDefault="004C1249" w:rsidP="004C1249">
            <w:pPr>
              <w:jc w:val="both"/>
            </w:pPr>
            <w:r w:rsidRPr="00D76302">
              <w:t>IN THE COURSE OF EVALUATION, IF MORE THAN ONE BIDDER HAPPENS TO OCCUPY L-1 STATUS, EFFECTIVE L-1 WILL BE DECIDED BY SOLICITING DISCOUNTS FROM THE RESPECTIVE L-1 BIDDERS.</w:t>
            </w:r>
          </w:p>
          <w:p w:rsidR="004C1249" w:rsidRDefault="004C1249" w:rsidP="004C1249">
            <w:pPr>
              <w:jc w:val="both"/>
            </w:pPr>
          </w:p>
          <w:p w:rsidR="004C1249" w:rsidRDefault="004C1249" w:rsidP="004C1249">
            <w:pPr>
              <w:jc w:val="both"/>
            </w:pPr>
            <w:r w:rsidRPr="00D76302">
              <w:t>IN CASE MORE THAN ONE BIDDER HAPPENS TO OCCUPY THE L-1 STATUS EVEN AFTER SOLICITING DISCOUNTS, THE L-1 BIDDER SHALL BE DECIDED BY A TOSS/DRAW OF LOTS, IN THE PRESENCE OF THE RESPECTIVE L-1 BIDDER(S) OR THEIR REPRESENTATIVE(S).</w:t>
            </w:r>
          </w:p>
          <w:p w:rsidR="004C1249" w:rsidRDefault="004C1249" w:rsidP="004C1249">
            <w:pPr>
              <w:jc w:val="both"/>
            </w:pPr>
          </w:p>
          <w:p w:rsidR="004C1249" w:rsidRDefault="004C1249" w:rsidP="004C1249">
            <w:pPr>
              <w:jc w:val="both"/>
            </w:pPr>
            <w:r w:rsidRPr="00D76302">
              <w:t>RANKING WILL BE DONE ACCORDINGLY. BHEL'S DECISION IN SUCH SITUATIONS SHALL BE FINAL AND BINDING.</w:t>
            </w:r>
          </w:p>
          <w:p w:rsidR="004C1249" w:rsidRDefault="004C1249" w:rsidP="004C1249">
            <w:pPr>
              <w:jc w:val="both"/>
            </w:pPr>
          </w:p>
        </w:tc>
      </w:tr>
      <w:tr w:rsidR="004C1249" w:rsidTr="00D94F72">
        <w:trPr>
          <w:trHeight w:val="827"/>
        </w:trPr>
        <w:tc>
          <w:tcPr>
            <w:tcW w:w="851" w:type="dxa"/>
            <w:vAlign w:val="center"/>
          </w:tcPr>
          <w:p w:rsidR="004C1249" w:rsidRDefault="004C1249" w:rsidP="004C1249">
            <w:pPr>
              <w:pStyle w:val="ListParagraph"/>
              <w:numPr>
                <w:ilvl w:val="0"/>
                <w:numId w:val="2"/>
              </w:numPr>
              <w:autoSpaceDE w:val="0"/>
              <w:autoSpaceDN w:val="0"/>
              <w:adjustRightInd w:val="0"/>
              <w:ind w:left="360"/>
              <w:rPr>
                <w:rFonts w:ascii="Times New Roman" w:hAnsi="Times New Roman" w:cs="Times New Roman"/>
                <w:b/>
                <w:bCs/>
              </w:rPr>
            </w:pPr>
          </w:p>
        </w:tc>
        <w:tc>
          <w:tcPr>
            <w:tcW w:w="10774" w:type="dxa"/>
            <w:vAlign w:val="center"/>
          </w:tcPr>
          <w:p w:rsidR="004C1249" w:rsidRDefault="004C1249" w:rsidP="004C1249">
            <w:pPr>
              <w:jc w:val="both"/>
              <w:rPr>
                <w:b/>
                <w:bCs/>
              </w:rPr>
            </w:pPr>
            <w:r w:rsidRPr="00C4471C">
              <w:rPr>
                <w:b/>
                <w:bCs/>
              </w:rPr>
              <w:t>Reverse Auction Applicability / Acceptance</w:t>
            </w:r>
            <w:r>
              <w:rPr>
                <w:b/>
                <w:bCs/>
              </w:rPr>
              <w:t xml:space="preserve"> :</w:t>
            </w:r>
          </w:p>
          <w:p w:rsidR="004C1249" w:rsidRDefault="004C1249" w:rsidP="004C1249">
            <w:pPr>
              <w:jc w:val="both"/>
              <w:rPr>
                <w:b/>
                <w:bCs/>
              </w:rPr>
            </w:pPr>
          </w:p>
          <w:p w:rsidR="004C1249" w:rsidRPr="00C4471C" w:rsidRDefault="004C1249" w:rsidP="004C1249">
            <w:pPr>
              <w:jc w:val="both"/>
            </w:pPr>
            <w:r w:rsidRPr="00C4471C">
              <w:t xml:space="preserve">It is declared upfront that </w:t>
            </w:r>
            <w:r w:rsidRPr="007B6A13">
              <w:rPr>
                <w:b/>
                <w:bCs/>
              </w:rPr>
              <w:t>Enquiry No. E5</w:t>
            </w:r>
            <w:r>
              <w:rPr>
                <w:b/>
                <w:bCs/>
              </w:rPr>
              <w:t>1</w:t>
            </w:r>
            <w:r w:rsidRPr="007B6A13">
              <w:rPr>
                <w:b/>
                <w:bCs/>
              </w:rPr>
              <w:t>030</w:t>
            </w:r>
            <w:r w:rsidR="00F561D6">
              <w:rPr>
                <w:b/>
                <w:bCs/>
              </w:rPr>
              <w:t>0</w:t>
            </w:r>
            <w:r w:rsidR="00362CB1">
              <w:rPr>
                <w:b/>
                <w:bCs/>
              </w:rPr>
              <w:t>3</w:t>
            </w:r>
            <w:r w:rsidR="00F561D6">
              <w:rPr>
                <w:b/>
                <w:bCs/>
              </w:rPr>
              <w:t>R1</w:t>
            </w:r>
            <w:r w:rsidRPr="007B6A13">
              <w:rPr>
                <w:b/>
                <w:bCs/>
              </w:rPr>
              <w:t xml:space="preserve"> shall not be subject to Reverse Auction (RA).</w:t>
            </w:r>
            <w:r w:rsidRPr="00C4471C">
              <w:t xml:space="preserve"> Bidders may kindly ignore the Reverse Auction (RA) field if mentioned and asked for in enquiry template or else may proceed with choosing “NO” against same when asked to give their acceptance with the offer for participation in RA.</w:t>
            </w:r>
          </w:p>
          <w:p w:rsidR="004C1249" w:rsidRDefault="004C1249" w:rsidP="004C1249">
            <w:pPr>
              <w:jc w:val="both"/>
              <w:rPr>
                <w:rFonts w:ascii="Arial" w:hAnsi="Arial"/>
                <w:sz w:val="18"/>
                <w:szCs w:val="18"/>
              </w:rPr>
            </w:pPr>
          </w:p>
        </w:tc>
      </w:tr>
    </w:tbl>
    <w:p w:rsidR="003F2938" w:rsidRDefault="003F2938" w:rsidP="00281282">
      <w:pPr>
        <w:autoSpaceDE w:val="0"/>
        <w:autoSpaceDN w:val="0"/>
        <w:adjustRightInd w:val="0"/>
        <w:spacing w:after="0" w:line="240" w:lineRule="auto"/>
        <w:rPr>
          <w:rFonts w:ascii="Times New Roman" w:hAnsi="Times New Roman" w:cs="Times New Roman"/>
          <w:b/>
          <w:bCs/>
        </w:rPr>
      </w:pPr>
    </w:p>
    <w:sectPr w:rsidR="003F2938" w:rsidSect="000E3038">
      <w:headerReference w:type="default" r:id="rId11"/>
      <w:footerReference w:type="default" r:id="rId12"/>
      <w:pgSz w:w="12240" w:h="15840" w:code="1"/>
      <w:pgMar w:top="993" w:right="474" w:bottom="18" w:left="1276" w:header="142"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F99" w:rsidRDefault="000A0F99">
      <w:pPr>
        <w:spacing w:after="0" w:line="240" w:lineRule="auto"/>
      </w:pPr>
      <w:r>
        <w:separator/>
      </w:r>
    </w:p>
  </w:endnote>
  <w:endnote w:type="continuationSeparator" w:id="0">
    <w:p w:rsidR="000A0F99" w:rsidRDefault="000A0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215679"/>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091817951"/>
          <w:docPartObj>
            <w:docPartGallery w:val="Page Numbers (Top of Page)"/>
            <w:docPartUnique/>
          </w:docPartObj>
        </w:sdtPr>
        <w:sdtEndPr/>
        <w:sdtContent>
          <w:p w:rsidR="003F2938" w:rsidRDefault="00DA4951">
            <w:pPr>
              <w:pStyle w:val="Footer"/>
              <w:jc w:val="center"/>
              <w:rPr>
                <w:rFonts w:ascii="Times New Roman" w:hAnsi="Times New Roman" w:cs="Times New Roman"/>
              </w:rPr>
            </w:pPr>
            <w:r>
              <w:rPr>
                <w:rFonts w:ascii="Times New Roman" w:hAnsi="Times New Roman" w:cs="Times New Roman"/>
              </w:rPr>
              <w:t xml:space="preserve">Page </w:t>
            </w:r>
            <w:r>
              <w:rPr>
                <w:rFonts w:ascii="Times New Roman" w:hAnsi="Times New Roman" w:cs="Times New Roman"/>
                <w:b/>
                <w:bCs/>
                <w:sz w:val="24"/>
                <w:szCs w:val="24"/>
              </w:rPr>
              <w:fldChar w:fldCharType="begin"/>
            </w:r>
            <w:r>
              <w:rPr>
                <w:rFonts w:ascii="Times New Roman" w:hAnsi="Times New Roman" w:cs="Times New Roman"/>
                <w:b/>
                <w:bCs/>
              </w:rPr>
              <w:instrText xml:space="preserve"> PAGE </w:instrText>
            </w:r>
            <w:r>
              <w:rPr>
                <w:rFonts w:ascii="Times New Roman" w:hAnsi="Times New Roman" w:cs="Times New Roman"/>
                <w:b/>
                <w:bCs/>
                <w:sz w:val="24"/>
                <w:szCs w:val="24"/>
              </w:rPr>
              <w:fldChar w:fldCharType="separate"/>
            </w:r>
            <w:r w:rsidR="00DC1703">
              <w:rPr>
                <w:rFonts w:ascii="Times New Roman" w:hAnsi="Times New Roman" w:cs="Times New Roman"/>
                <w:b/>
                <w:bCs/>
                <w:noProof/>
              </w:rPr>
              <w:t>1</w:t>
            </w:r>
            <w:r>
              <w:rPr>
                <w:rFonts w:ascii="Times New Roman" w:hAnsi="Times New Roman" w:cs="Times New Roman"/>
                <w:b/>
                <w:bCs/>
                <w:sz w:val="24"/>
                <w:szCs w:val="24"/>
              </w:rPr>
              <w:fldChar w:fldCharType="end"/>
            </w:r>
            <w:r>
              <w:rPr>
                <w:rFonts w:ascii="Times New Roman" w:hAnsi="Times New Roman" w:cs="Times New Roman"/>
              </w:rPr>
              <w:t xml:space="preserve"> of </w:t>
            </w:r>
            <w:r>
              <w:rPr>
                <w:rFonts w:ascii="Times New Roman" w:hAnsi="Times New Roman" w:cs="Times New Roman"/>
                <w:b/>
                <w:bCs/>
                <w:sz w:val="24"/>
                <w:szCs w:val="24"/>
              </w:rPr>
              <w:fldChar w:fldCharType="begin"/>
            </w:r>
            <w:r>
              <w:rPr>
                <w:rFonts w:ascii="Times New Roman" w:hAnsi="Times New Roman" w:cs="Times New Roman"/>
                <w:b/>
                <w:bCs/>
              </w:rPr>
              <w:instrText xml:space="preserve"> NUMPAGES  </w:instrText>
            </w:r>
            <w:r>
              <w:rPr>
                <w:rFonts w:ascii="Times New Roman" w:hAnsi="Times New Roman" w:cs="Times New Roman"/>
                <w:b/>
                <w:bCs/>
                <w:sz w:val="24"/>
                <w:szCs w:val="24"/>
              </w:rPr>
              <w:fldChar w:fldCharType="separate"/>
            </w:r>
            <w:r w:rsidR="00DC1703">
              <w:rPr>
                <w:rFonts w:ascii="Times New Roman" w:hAnsi="Times New Roman" w:cs="Times New Roman"/>
                <w:b/>
                <w:bCs/>
                <w:noProof/>
              </w:rPr>
              <w:t>3</w:t>
            </w:r>
            <w:r>
              <w:rPr>
                <w:rFonts w:ascii="Times New Roman" w:hAnsi="Times New Roman" w:cs="Times New Roman"/>
                <w:b/>
                <w:bCs/>
                <w:sz w:val="24"/>
                <w:szCs w:val="24"/>
              </w:rPr>
              <w:fldChar w:fldCharType="end"/>
            </w:r>
          </w:p>
        </w:sdtContent>
      </w:sdt>
    </w:sdtContent>
  </w:sdt>
  <w:p w:rsidR="003F2938" w:rsidRDefault="003F29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F99" w:rsidRDefault="000A0F99">
      <w:pPr>
        <w:spacing w:after="0" w:line="240" w:lineRule="auto"/>
      </w:pPr>
      <w:r>
        <w:separator/>
      </w:r>
    </w:p>
  </w:footnote>
  <w:footnote w:type="continuationSeparator" w:id="0">
    <w:p w:rsidR="000A0F99" w:rsidRDefault="000A0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038" w:rsidRDefault="000E3038" w:rsidP="0012091D">
    <w:pPr>
      <w:autoSpaceDE w:val="0"/>
      <w:autoSpaceDN w:val="0"/>
      <w:adjustRightInd w:val="0"/>
      <w:spacing w:after="0" w:line="240" w:lineRule="auto"/>
      <w:jc w:val="center"/>
      <w:rPr>
        <w:rFonts w:ascii="Times New Roman" w:hAnsi="Times New Roman" w:cs="Times New Roman"/>
        <w:b/>
        <w:bCs/>
        <w:sz w:val="24"/>
        <w:szCs w:val="24"/>
      </w:rPr>
    </w:pPr>
  </w:p>
  <w:p w:rsidR="00D8630B" w:rsidRDefault="00DA4951" w:rsidP="0012091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Annexure – </w:t>
    </w:r>
    <w:r w:rsidR="00FA2E6E">
      <w:rPr>
        <w:rFonts w:ascii="Times New Roman" w:hAnsi="Times New Roman" w:cs="Times New Roman"/>
        <w:b/>
        <w:bCs/>
        <w:sz w:val="24"/>
        <w:szCs w:val="24"/>
      </w:rPr>
      <w:t>B</w:t>
    </w:r>
  </w:p>
  <w:p w:rsidR="000E3038" w:rsidRDefault="000E3038" w:rsidP="0012091D">
    <w:pPr>
      <w:autoSpaceDE w:val="0"/>
      <w:autoSpaceDN w:val="0"/>
      <w:adjustRightInd w:val="0"/>
      <w:spacing w:after="0" w:line="240" w:lineRule="auto"/>
      <w:jc w:val="center"/>
      <w:rPr>
        <w:rFonts w:ascii="Times New Roman" w:hAnsi="Times New Roman" w:cs="Times New Roman"/>
        <w:b/>
        <w:bCs/>
        <w:sz w:val="24"/>
        <w:szCs w:val="24"/>
      </w:rPr>
    </w:pPr>
  </w:p>
  <w:tbl>
    <w:tblPr>
      <w:tblW w:w="10468" w:type="dxa"/>
      <w:tblCellSpacing w:w="15" w:type="dxa"/>
      <w:tblCellMar>
        <w:top w:w="15" w:type="dxa"/>
        <w:left w:w="15" w:type="dxa"/>
        <w:bottom w:w="15" w:type="dxa"/>
        <w:right w:w="15" w:type="dxa"/>
      </w:tblCellMar>
      <w:tblLook w:val="04A0" w:firstRow="1" w:lastRow="0" w:firstColumn="1" w:lastColumn="0" w:noHBand="0" w:noVBand="1"/>
    </w:tblPr>
    <w:tblGrid>
      <w:gridCol w:w="10387"/>
      <w:gridCol w:w="81"/>
    </w:tblGrid>
    <w:tr w:rsidR="00C845A8" w:rsidRPr="00C845A8" w:rsidTr="00C845A8">
      <w:trPr>
        <w:trHeight w:val="502"/>
        <w:tblCellSpacing w:w="15" w:type="dxa"/>
      </w:trPr>
      <w:tc>
        <w:tcPr>
          <w:tcW w:w="0" w:type="auto"/>
          <w:vAlign w:val="center"/>
          <w:hideMark/>
        </w:tcPr>
        <w:p w:rsidR="00C845A8" w:rsidRPr="00C845A8" w:rsidRDefault="00DA4951" w:rsidP="008B493C">
          <w:pPr>
            <w:pStyle w:val="NormalWeb"/>
            <w:spacing w:before="0" w:beforeAutospacing="0" w:after="0" w:afterAutospacing="0"/>
            <w:jc w:val="both"/>
            <w:rPr>
              <w:rFonts w:eastAsiaTheme="minorHAnsi"/>
              <w:b/>
              <w:bCs/>
              <w:u w:val="single"/>
              <w:lang w:val="en-US" w:eastAsia="en-US" w:bidi="ar-SA"/>
            </w:rPr>
          </w:pPr>
          <w:r w:rsidRPr="00793C96">
            <w:rPr>
              <w:rFonts w:eastAsiaTheme="minorHAnsi"/>
              <w:b/>
              <w:bCs/>
              <w:u w:val="single"/>
              <w:lang w:val="en-US" w:eastAsia="en-US" w:bidi="ar-SA"/>
            </w:rPr>
            <w:t>Enquiry No</w:t>
          </w:r>
          <w:r w:rsidR="0095423C" w:rsidRPr="00793C96">
            <w:rPr>
              <w:rFonts w:eastAsiaTheme="minorHAnsi"/>
              <w:b/>
              <w:bCs/>
              <w:u w:val="single"/>
              <w:lang w:val="en-US" w:eastAsia="en-US" w:bidi="ar-SA"/>
            </w:rPr>
            <w:t>.</w:t>
          </w:r>
          <w:r w:rsidR="009D1930" w:rsidRPr="00793C96">
            <w:rPr>
              <w:rFonts w:eastAsiaTheme="minorHAnsi"/>
              <w:b/>
              <w:bCs/>
              <w:u w:val="single"/>
              <w:lang w:val="en-US" w:eastAsia="en-US" w:bidi="ar-SA"/>
            </w:rPr>
            <w:t xml:space="preserve"> </w:t>
          </w:r>
          <w:r w:rsidRPr="00793C96">
            <w:rPr>
              <w:rFonts w:eastAsiaTheme="minorHAnsi"/>
              <w:b/>
              <w:bCs/>
              <w:u w:val="single"/>
              <w:lang w:val="en-US" w:eastAsia="en-US" w:bidi="ar-SA"/>
            </w:rPr>
            <w:t>:</w:t>
          </w:r>
          <w:r w:rsidR="009D1930" w:rsidRPr="00793C96">
            <w:rPr>
              <w:rFonts w:eastAsiaTheme="minorHAnsi"/>
              <w:b/>
              <w:bCs/>
              <w:u w:val="single"/>
              <w:lang w:val="en-US" w:eastAsia="en-US" w:bidi="ar-SA"/>
            </w:rPr>
            <w:t xml:space="preserve"> </w:t>
          </w:r>
          <w:r w:rsidR="00C66E0B" w:rsidRPr="00793C96">
            <w:rPr>
              <w:rFonts w:eastAsiaTheme="minorHAnsi"/>
              <w:b/>
              <w:bCs/>
              <w:u w:val="single"/>
              <w:lang w:val="en-US" w:eastAsia="en-US" w:bidi="ar-SA"/>
            </w:rPr>
            <w:t xml:space="preserve">ENQUIRY </w:t>
          </w:r>
          <w:r w:rsidR="00AE3107" w:rsidRPr="00793C96">
            <w:rPr>
              <w:rFonts w:eastAsiaTheme="minorHAnsi"/>
              <w:b/>
              <w:bCs/>
              <w:u w:val="single"/>
              <w:lang w:val="en-US" w:eastAsia="en-US" w:bidi="ar-SA"/>
            </w:rPr>
            <w:t xml:space="preserve">NO. </w:t>
          </w:r>
          <w:r w:rsidR="00AF6594">
            <w:rPr>
              <w:rFonts w:eastAsiaTheme="minorHAnsi"/>
              <w:b/>
              <w:bCs/>
              <w:u w:val="single"/>
              <w:lang w:val="en-US" w:eastAsia="en-US" w:bidi="ar-SA"/>
            </w:rPr>
            <w:t>E51030</w:t>
          </w:r>
          <w:r w:rsidR="00467D19">
            <w:rPr>
              <w:rFonts w:eastAsiaTheme="minorHAnsi"/>
              <w:b/>
              <w:bCs/>
              <w:u w:val="single"/>
              <w:lang w:val="en-US" w:eastAsia="en-US" w:bidi="ar-SA"/>
            </w:rPr>
            <w:t>0</w:t>
          </w:r>
          <w:r w:rsidR="00AF6594">
            <w:rPr>
              <w:rFonts w:eastAsiaTheme="minorHAnsi"/>
              <w:b/>
              <w:bCs/>
              <w:u w:val="single"/>
              <w:lang w:val="en-US" w:eastAsia="en-US" w:bidi="ar-SA"/>
            </w:rPr>
            <w:t>3</w:t>
          </w:r>
          <w:r w:rsidR="00467D19">
            <w:rPr>
              <w:rFonts w:eastAsiaTheme="minorHAnsi"/>
              <w:b/>
              <w:bCs/>
              <w:u w:val="single"/>
              <w:lang w:val="en-US" w:eastAsia="en-US" w:bidi="ar-SA"/>
            </w:rPr>
            <w:t>R1</w:t>
          </w:r>
          <w:r w:rsidR="00AF6594">
            <w:rPr>
              <w:rFonts w:eastAsiaTheme="minorHAnsi"/>
              <w:b/>
              <w:bCs/>
              <w:u w:val="single"/>
              <w:lang w:val="en-US" w:eastAsia="en-US" w:bidi="ar-SA"/>
            </w:rPr>
            <w:t xml:space="preserve"> </w:t>
          </w:r>
          <w:r w:rsidR="00793C96" w:rsidRPr="00AE3107">
            <w:rPr>
              <w:rFonts w:eastAsiaTheme="minorHAnsi"/>
              <w:b/>
              <w:bCs/>
              <w:u w:val="single"/>
              <w:lang w:val="en-US" w:eastAsia="en-US" w:bidi="ar-SA"/>
            </w:rPr>
            <w:t xml:space="preserve">FOR </w:t>
          </w:r>
          <w:r w:rsidR="00467D19" w:rsidRPr="0064733B">
            <w:rPr>
              <w:rFonts w:eastAsiaTheme="minorHAnsi"/>
              <w:b/>
              <w:bCs/>
              <w:u w:val="single"/>
              <w:lang w:val="en-US" w:eastAsia="en-US" w:bidi="ar-SA"/>
            </w:rPr>
            <w:t>RATE CONTRACT OF</w:t>
          </w:r>
          <w:r w:rsidR="00467D19">
            <w:rPr>
              <w:rFonts w:eastAsiaTheme="minorHAnsi"/>
              <w:b/>
              <w:bCs/>
              <w:u w:val="single"/>
              <w:lang w:val="en-US" w:eastAsia="en-US" w:bidi="ar-SA"/>
            </w:rPr>
            <w:t xml:space="preserve"> </w:t>
          </w:r>
          <w:r w:rsidR="00467D19" w:rsidRPr="0064733B">
            <w:rPr>
              <w:rFonts w:eastAsiaTheme="minorHAnsi"/>
              <w:b/>
              <w:bCs/>
              <w:u w:val="single"/>
              <w:lang w:val="en-US" w:eastAsia="en-US" w:bidi="ar-SA"/>
            </w:rPr>
            <w:t>BRUSH GEAR LEAD SET AS PER BHEL DRG.</w:t>
          </w:r>
          <w:r w:rsidR="00467D19">
            <w:rPr>
              <w:rFonts w:eastAsiaTheme="minorHAnsi"/>
              <w:b/>
              <w:bCs/>
              <w:u w:val="single"/>
              <w:lang w:val="en-US" w:eastAsia="en-US" w:bidi="ar-SA"/>
            </w:rPr>
            <w:t xml:space="preserve"> </w:t>
          </w:r>
          <w:r w:rsidR="00467D19" w:rsidRPr="0064733B">
            <w:rPr>
              <w:rFonts w:eastAsiaTheme="minorHAnsi"/>
              <w:b/>
              <w:bCs/>
              <w:u w:val="single"/>
              <w:lang w:val="en-US" w:eastAsia="en-US" w:bidi="ar-SA"/>
            </w:rPr>
            <w:t>NO.</w:t>
          </w:r>
          <w:r w:rsidR="00467D19">
            <w:rPr>
              <w:rFonts w:eastAsiaTheme="minorHAnsi"/>
              <w:b/>
              <w:bCs/>
              <w:u w:val="single"/>
              <w:lang w:val="en-US" w:eastAsia="en-US" w:bidi="ar-SA"/>
            </w:rPr>
            <w:t xml:space="preserve"> </w:t>
          </w:r>
          <w:r w:rsidR="008B493C" w:rsidRPr="008B493C">
            <w:rPr>
              <w:rFonts w:eastAsiaTheme="minorHAnsi"/>
              <w:b/>
              <w:bCs/>
              <w:u w:val="single"/>
              <w:lang w:val="en-US" w:eastAsia="en-US" w:bidi="ar-SA"/>
            </w:rPr>
            <w:t>34393080005 REV.</w:t>
          </w:r>
          <w:r w:rsidR="008B493C">
            <w:rPr>
              <w:rFonts w:eastAsiaTheme="minorHAnsi"/>
              <w:b/>
              <w:bCs/>
              <w:u w:val="single"/>
              <w:lang w:val="en-US" w:eastAsia="en-US" w:bidi="ar-SA"/>
            </w:rPr>
            <w:t xml:space="preserve"> </w:t>
          </w:r>
          <w:r w:rsidR="008B493C" w:rsidRPr="008B493C">
            <w:rPr>
              <w:rFonts w:eastAsiaTheme="minorHAnsi"/>
              <w:b/>
              <w:bCs/>
              <w:u w:val="single"/>
              <w:lang w:val="en-US" w:eastAsia="en-US" w:bidi="ar-SA"/>
            </w:rPr>
            <w:t>04.</w:t>
          </w:r>
          <w:r w:rsidR="008B493C">
            <w:rPr>
              <w:rFonts w:eastAsiaTheme="minorHAnsi"/>
              <w:b/>
              <w:bCs/>
              <w:u w:val="single"/>
              <w:lang w:val="en-US" w:eastAsia="en-US" w:bidi="ar-SA"/>
            </w:rPr>
            <w:t xml:space="preserve"> </w:t>
          </w:r>
          <w:r w:rsidR="00467D19" w:rsidRPr="0064733B">
            <w:rPr>
              <w:rFonts w:eastAsiaTheme="minorHAnsi"/>
              <w:b/>
              <w:bCs/>
              <w:u w:val="single"/>
              <w:lang w:val="en-US" w:eastAsia="en-US" w:bidi="ar-SA"/>
            </w:rPr>
            <w:t>ONE SET CONSIST OF ITEM 1,</w:t>
          </w:r>
          <w:r w:rsidR="00467D19">
            <w:rPr>
              <w:rFonts w:eastAsiaTheme="minorHAnsi"/>
              <w:b/>
              <w:bCs/>
              <w:u w:val="single"/>
              <w:lang w:val="en-US" w:eastAsia="en-US" w:bidi="ar-SA"/>
            </w:rPr>
            <w:t xml:space="preserve"> </w:t>
          </w:r>
          <w:r w:rsidR="00467D19" w:rsidRPr="0064733B">
            <w:rPr>
              <w:rFonts w:eastAsiaTheme="minorHAnsi"/>
              <w:b/>
              <w:bCs/>
              <w:u w:val="single"/>
              <w:lang w:val="en-US" w:eastAsia="en-US" w:bidi="ar-SA"/>
            </w:rPr>
            <w:t>3 AND 4 OF VAR.</w:t>
          </w:r>
          <w:r w:rsidR="000F51CC">
            <w:rPr>
              <w:rFonts w:eastAsiaTheme="minorHAnsi"/>
              <w:b/>
              <w:bCs/>
              <w:u w:val="single"/>
              <w:lang w:val="en-US" w:eastAsia="en-US" w:bidi="ar-SA"/>
            </w:rPr>
            <w:t xml:space="preserve"> </w:t>
          </w:r>
          <w:r w:rsidR="00467D19" w:rsidRPr="0064733B">
            <w:rPr>
              <w:rFonts w:eastAsiaTheme="minorHAnsi"/>
              <w:b/>
              <w:bCs/>
              <w:u w:val="single"/>
              <w:lang w:val="en-US" w:eastAsia="en-US" w:bidi="ar-SA"/>
            </w:rPr>
            <w:t>00 AND ITEM 02,</w:t>
          </w:r>
          <w:r w:rsidR="00467D19">
            <w:rPr>
              <w:rFonts w:eastAsiaTheme="minorHAnsi"/>
              <w:b/>
              <w:bCs/>
              <w:u w:val="single"/>
              <w:lang w:val="en-US" w:eastAsia="en-US" w:bidi="ar-SA"/>
            </w:rPr>
            <w:t xml:space="preserve"> </w:t>
          </w:r>
          <w:r w:rsidR="00467D19" w:rsidRPr="0064733B">
            <w:rPr>
              <w:rFonts w:eastAsiaTheme="minorHAnsi"/>
              <w:b/>
              <w:bCs/>
              <w:u w:val="single"/>
              <w:lang w:val="en-US" w:eastAsia="en-US" w:bidi="ar-SA"/>
            </w:rPr>
            <w:t>03 &amp; 04 OF VAR.</w:t>
          </w:r>
          <w:r w:rsidR="000F51CC">
            <w:rPr>
              <w:rFonts w:eastAsiaTheme="minorHAnsi"/>
              <w:b/>
              <w:bCs/>
              <w:u w:val="single"/>
              <w:lang w:val="en-US" w:eastAsia="en-US" w:bidi="ar-SA"/>
            </w:rPr>
            <w:t xml:space="preserve"> </w:t>
          </w:r>
          <w:r w:rsidR="00467D19" w:rsidRPr="0064733B">
            <w:rPr>
              <w:rFonts w:eastAsiaTheme="minorHAnsi"/>
              <w:b/>
              <w:bCs/>
              <w:u w:val="single"/>
              <w:lang w:val="en-US" w:eastAsia="en-US" w:bidi="ar-SA"/>
            </w:rPr>
            <w:t>01. EQUAL QTY OF VAR.</w:t>
          </w:r>
          <w:r w:rsidR="00467D19">
            <w:rPr>
              <w:rFonts w:eastAsiaTheme="minorHAnsi"/>
              <w:b/>
              <w:bCs/>
              <w:u w:val="single"/>
              <w:lang w:val="en-US" w:eastAsia="en-US" w:bidi="ar-SA"/>
            </w:rPr>
            <w:t xml:space="preserve"> </w:t>
          </w:r>
          <w:r w:rsidR="00467D19" w:rsidRPr="0064733B">
            <w:rPr>
              <w:rFonts w:eastAsiaTheme="minorHAnsi"/>
              <w:b/>
              <w:bCs/>
              <w:u w:val="single"/>
              <w:lang w:val="en-US" w:eastAsia="en-US" w:bidi="ar-SA"/>
            </w:rPr>
            <w:t>00 AND VAR</w:t>
          </w:r>
          <w:r w:rsidR="00467D19">
            <w:rPr>
              <w:rFonts w:eastAsiaTheme="minorHAnsi"/>
              <w:b/>
              <w:bCs/>
              <w:u w:val="single"/>
              <w:lang w:val="en-US" w:eastAsia="en-US" w:bidi="ar-SA"/>
            </w:rPr>
            <w:t>. 01 TO BE SUPPLIED IN EACH LOT.</w:t>
          </w:r>
        </w:p>
      </w:tc>
      <w:tc>
        <w:tcPr>
          <w:tcW w:w="0" w:type="auto"/>
          <w:vAlign w:val="center"/>
          <w:hideMark/>
        </w:tcPr>
        <w:p w:rsidR="00C845A8" w:rsidRPr="00C845A8" w:rsidRDefault="00C845A8" w:rsidP="00C845A8">
          <w:pPr>
            <w:spacing w:after="0" w:line="240" w:lineRule="auto"/>
            <w:rPr>
              <w:rFonts w:ascii="Times New Roman" w:hAnsi="Times New Roman" w:cs="Times New Roman"/>
              <w:b/>
              <w:bCs/>
              <w:sz w:val="24"/>
              <w:szCs w:val="24"/>
              <w:u w:val="single"/>
            </w:rPr>
          </w:pPr>
        </w:p>
      </w:tc>
    </w:tr>
  </w:tbl>
  <w:p w:rsidR="003F2938" w:rsidRDefault="00DA4951" w:rsidP="002C5537">
    <w:pPr>
      <w:pStyle w:val="NormalWeb"/>
      <w:spacing w:before="0" w:beforeAutospacing="0" w:after="0" w:afterAutospacing="0"/>
      <w:jc w:val="center"/>
    </w:pPr>
    <w:r>
      <w:rPr>
        <w:b/>
        <w:bCs/>
      </w:rPr>
      <w:t>Special Terms &amp; Conditions for the Enquiry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452"/>
    <w:multiLevelType w:val="hybridMultilevel"/>
    <w:tmpl w:val="5AB42940"/>
    <w:lvl w:ilvl="0" w:tplc="4009000F">
      <w:start w:val="1"/>
      <w:numFmt w:val="decimal"/>
      <w:lvlText w:val="%1."/>
      <w:lvlJc w:val="left"/>
      <w:pPr>
        <w:tabs>
          <w:tab w:val="num" w:pos="720"/>
        </w:tabs>
        <w:ind w:left="720" w:hanging="360"/>
      </w:pPr>
      <w:rPr>
        <w:rFonts w:hint="default"/>
      </w:rPr>
    </w:lvl>
    <w:lvl w:ilvl="1" w:tplc="D292A10E" w:tentative="1">
      <w:start w:val="1"/>
      <w:numFmt w:val="bullet"/>
      <w:lvlText w:val="•"/>
      <w:lvlJc w:val="left"/>
      <w:pPr>
        <w:tabs>
          <w:tab w:val="num" w:pos="1440"/>
        </w:tabs>
        <w:ind w:left="1440" w:hanging="360"/>
      </w:pPr>
      <w:rPr>
        <w:rFonts w:ascii="Arial" w:hAnsi="Arial" w:hint="default"/>
      </w:rPr>
    </w:lvl>
    <w:lvl w:ilvl="2" w:tplc="22C2DFC4" w:tentative="1">
      <w:start w:val="1"/>
      <w:numFmt w:val="bullet"/>
      <w:lvlText w:val="•"/>
      <w:lvlJc w:val="left"/>
      <w:pPr>
        <w:tabs>
          <w:tab w:val="num" w:pos="2160"/>
        </w:tabs>
        <w:ind w:left="2160" w:hanging="360"/>
      </w:pPr>
      <w:rPr>
        <w:rFonts w:ascii="Arial" w:hAnsi="Arial" w:hint="default"/>
      </w:rPr>
    </w:lvl>
    <w:lvl w:ilvl="3" w:tplc="139C84F6" w:tentative="1">
      <w:start w:val="1"/>
      <w:numFmt w:val="bullet"/>
      <w:lvlText w:val="•"/>
      <w:lvlJc w:val="left"/>
      <w:pPr>
        <w:tabs>
          <w:tab w:val="num" w:pos="2880"/>
        </w:tabs>
        <w:ind w:left="2880" w:hanging="360"/>
      </w:pPr>
      <w:rPr>
        <w:rFonts w:ascii="Arial" w:hAnsi="Arial" w:hint="default"/>
      </w:rPr>
    </w:lvl>
    <w:lvl w:ilvl="4" w:tplc="4FBC6798" w:tentative="1">
      <w:start w:val="1"/>
      <w:numFmt w:val="bullet"/>
      <w:lvlText w:val="•"/>
      <w:lvlJc w:val="left"/>
      <w:pPr>
        <w:tabs>
          <w:tab w:val="num" w:pos="3600"/>
        </w:tabs>
        <w:ind w:left="3600" w:hanging="360"/>
      </w:pPr>
      <w:rPr>
        <w:rFonts w:ascii="Arial" w:hAnsi="Arial" w:hint="default"/>
      </w:rPr>
    </w:lvl>
    <w:lvl w:ilvl="5" w:tplc="AFD2B8E2" w:tentative="1">
      <w:start w:val="1"/>
      <w:numFmt w:val="bullet"/>
      <w:lvlText w:val="•"/>
      <w:lvlJc w:val="left"/>
      <w:pPr>
        <w:tabs>
          <w:tab w:val="num" w:pos="4320"/>
        </w:tabs>
        <w:ind w:left="4320" w:hanging="360"/>
      </w:pPr>
      <w:rPr>
        <w:rFonts w:ascii="Arial" w:hAnsi="Arial" w:hint="default"/>
      </w:rPr>
    </w:lvl>
    <w:lvl w:ilvl="6" w:tplc="38347060" w:tentative="1">
      <w:start w:val="1"/>
      <w:numFmt w:val="bullet"/>
      <w:lvlText w:val="•"/>
      <w:lvlJc w:val="left"/>
      <w:pPr>
        <w:tabs>
          <w:tab w:val="num" w:pos="5040"/>
        </w:tabs>
        <w:ind w:left="5040" w:hanging="360"/>
      </w:pPr>
      <w:rPr>
        <w:rFonts w:ascii="Arial" w:hAnsi="Arial" w:hint="default"/>
      </w:rPr>
    </w:lvl>
    <w:lvl w:ilvl="7" w:tplc="80EE9646" w:tentative="1">
      <w:start w:val="1"/>
      <w:numFmt w:val="bullet"/>
      <w:lvlText w:val="•"/>
      <w:lvlJc w:val="left"/>
      <w:pPr>
        <w:tabs>
          <w:tab w:val="num" w:pos="5760"/>
        </w:tabs>
        <w:ind w:left="5760" w:hanging="360"/>
      </w:pPr>
      <w:rPr>
        <w:rFonts w:ascii="Arial" w:hAnsi="Arial" w:hint="default"/>
      </w:rPr>
    </w:lvl>
    <w:lvl w:ilvl="8" w:tplc="6750F91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8113B0D"/>
    <w:multiLevelType w:val="hybridMultilevel"/>
    <w:tmpl w:val="238C0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492CDC"/>
    <w:multiLevelType w:val="hybridMultilevel"/>
    <w:tmpl w:val="4CC0A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A61B8"/>
    <w:multiLevelType w:val="hybridMultilevel"/>
    <w:tmpl w:val="29E81698"/>
    <w:lvl w:ilvl="0" w:tplc="825A5C26">
      <w:start w:val="1"/>
      <w:numFmt w:val="lowerRoman"/>
      <w:lvlText w:val="(%1)"/>
      <w:lvlJc w:val="left"/>
      <w:pPr>
        <w:ind w:left="63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E168BE"/>
    <w:multiLevelType w:val="hybridMultilevel"/>
    <w:tmpl w:val="4D44BBFC"/>
    <w:lvl w:ilvl="0" w:tplc="E5FC8A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938"/>
    <w:rsid w:val="000004EA"/>
    <w:rsid w:val="00000AC1"/>
    <w:rsid w:val="00002CBF"/>
    <w:rsid w:val="00010A52"/>
    <w:rsid w:val="0001400D"/>
    <w:rsid w:val="00022073"/>
    <w:rsid w:val="00032141"/>
    <w:rsid w:val="00033360"/>
    <w:rsid w:val="0003440A"/>
    <w:rsid w:val="00036340"/>
    <w:rsid w:val="00045649"/>
    <w:rsid w:val="00045AF4"/>
    <w:rsid w:val="00054906"/>
    <w:rsid w:val="00060403"/>
    <w:rsid w:val="00064E07"/>
    <w:rsid w:val="00083019"/>
    <w:rsid w:val="00087E47"/>
    <w:rsid w:val="000A06A5"/>
    <w:rsid w:val="000A0913"/>
    <w:rsid w:val="000A0F99"/>
    <w:rsid w:val="000A2D1A"/>
    <w:rsid w:val="000B25C6"/>
    <w:rsid w:val="000C2D63"/>
    <w:rsid w:val="000C7972"/>
    <w:rsid w:val="000D50C6"/>
    <w:rsid w:val="000E3038"/>
    <w:rsid w:val="000F51CC"/>
    <w:rsid w:val="001019FD"/>
    <w:rsid w:val="0012091D"/>
    <w:rsid w:val="00135B5E"/>
    <w:rsid w:val="001374E8"/>
    <w:rsid w:val="0014316D"/>
    <w:rsid w:val="00163EDD"/>
    <w:rsid w:val="0016549B"/>
    <w:rsid w:val="00170D1D"/>
    <w:rsid w:val="00172170"/>
    <w:rsid w:val="00175B28"/>
    <w:rsid w:val="00181840"/>
    <w:rsid w:val="001859D8"/>
    <w:rsid w:val="001A41EA"/>
    <w:rsid w:val="001A76D2"/>
    <w:rsid w:val="001A7725"/>
    <w:rsid w:val="001B0F65"/>
    <w:rsid w:val="001B320E"/>
    <w:rsid w:val="001B408D"/>
    <w:rsid w:val="001B6614"/>
    <w:rsid w:val="001D5292"/>
    <w:rsid w:val="001D5BF1"/>
    <w:rsid w:val="001F399E"/>
    <w:rsid w:val="001F428B"/>
    <w:rsid w:val="001F511E"/>
    <w:rsid w:val="001F7898"/>
    <w:rsid w:val="00201A55"/>
    <w:rsid w:val="002136E0"/>
    <w:rsid w:val="002139B1"/>
    <w:rsid w:val="00215F27"/>
    <w:rsid w:val="00225EE5"/>
    <w:rsid w:val="002321BF"/>
    <w:rsid w:val="00233A8B"/>
    <w:rsid w:val="00235A5E"/>
    <w:rsid w:val="00245B9E"/>
    <w:rsid w:val="00275DA3"/>
    <w:rsid w:val="00281282"/>
    <w:rsid w:val="00282233"/>
    <w:rsid w:val="0029750C"/>
    <w:rsid w:val="002A16C8"/>
    <w:rsid w:val="002C5537"/>
    <w:rsid w:val="002D0C6B"/>
    <w:rsid w:val="002D2823"/>
    <w:rsid w:val="002D7FAC"/>
    <w:rsid w:val="002E427F"/>
    <w:rsid w:val="002F48DB"/>
    <w:rsid w:val="003055E0"/>
    <w:rsid w:val="00317521"/>
    <w:rsid w:val="00317E83"/>
    <w:rsid w:val="00321BCE"/>
    <w:rsid w:val="0032669E"/>
    <w:rsid w:val="00334490"/>
    <w:rsid w:val="00344295"/>
    <w:rsid w:val="00345C4A"/>
    <w:rsid w:val="003629FF"/>
    <w:rsid w:val="00362CB1"/>
    <w:rsid w:val="00384FD9"/>
    <w:rsid w:val="00386B96"/>
    <w:rsid w:val="003968E7"/>
    <w:rsid w:val="003A2A46"/>
    <w:rsid w:val="003A5686"/>
    <w:rsid w:val="003A7104"/>
    <w:rsid w:val="003B0881"/>
    <w:rsid w:val="003B0A65"/>
    <w:rsid w:val="003B4140"/>
    <w:rsid w:val="003B6FB3"/>
    <w:rsid w:val="003C4656"/>
    <w:rsid w:val="003D408D"/>
    <w:rsid w:val="003E1075"/>
    <w:rsid w:val="003E31ED"/>
    <w:rsid w:val="003F2938"/>
    <w:rsid w:val="003F506F"/>
    <w:rsid w:val="004024B2"/>
    <w:rsid w:val="00407F83"/>
    <w:rsid w:val="00414A9F"/>
    <w:rsid w:val="00414DD3"/>
    <w:rsid w:val="0041512C"/>
    <w:rsid w:val="0041559F"/>
    <w:rsid w:val="0044577E"/>
    <w:rsid w:val="004525A9"/>
    <w:rsid w:val="004542E0"/>
    <w:rsid w:val="00460751"/>
    <w:rsid w:val="0046365C"/>
    <w:rsid w:val="00467D19"/>
    <w:rsid w:val="00474DCE"/>
    <w:rsid w:val="004830FD"/>
    <w:rsid w:val="00484000"/>
    <w:rsid w:val="004908F1"/>
    <w:rsid w:val="004A1753"/>
    <w:rsid w:val="004A5C6D"/>
    <w:rsid w:val="004A6D73"/>
    <w:rsid w:val="004A7A4F"/>
    <w:rsid w:val="004B712E"/>
    <w:rsid w:val="004C1249"/>
    <w:rsid w:val="004C5005"/>
    <w:rsid w:val="004D6280"/>
    <w:rsid w:val="004E0D65"/>
    <w:rsid w:val="004F7784"/>
    <w:rsid w:val="00512DFA"/>
    <w:rsid w:val="00513AC0"/>
    <w:rsid w:val="005143B3"/>
    <w:rsid w:val="00515351"/>
    <w:rsid w:val="005207F3"/>
    <w:rsid w:val="005255EE"/>
    <w:rsid w:val="00525F98"/>
    <w:rsid w:val="00532A76"/>
    <w:rsid w:val="00540967"/>
    <w:rsid w:val="0056338A"/>
    <w:rsid w:val="00563E7B"/>
    <w:rsid w:val="005769E9"/>
    <w:rsid w:val="005772D7"/>
    <w:rsid w:val="0058707C"/>
    <w:rsid w:val="005923F2"/>
    <w:rsid w:val="00593C94"/>
    <w:rsid w:val="005946CD"/>
    <w:rsid w:val="005A69DC"/>
    <w:rsid w:val="005A759A"/>
    <w:rsid w:val="005C068D"/>
    <w:rsid w:val="005C7D21"/>
    <w:rsid w:val="005D0ACC"/>
    <w:rsid w:val="005E3A6C"/>
    <w:rsid w:val="005E57B0"/>
    <w:rsid w:val="005E64A0"/>
    <w:rsid w:val="005F3935"/>
    <w:rsid w:val="005F71CC"/>
    <w:rsid w:val="006049E2"/>
    <w:rsid w:val="006059F0"/>
    <w:rsid w:val="006175F3"/>
    <w:rsid w:val="00626F13"/>
    <w:rsid w:val="00627CB9"/>
    <w:rsid w:val="0064733B"/>
    <w:rsid w:val="00647DA6"/>
    <w:rsid w:val="006505DC"/>
    <w:rsid w:val="00655928"/>
    <w:rsid w:val="0066064B"/>
    <w:rsid w:val="006612A2"/>
    <w:rsid w:val="006627B9"/>
    <w:rsid w:val="0066663B"/>
    <w:rsid w:val="006722F6"/>
    <w:rsid w:val="00680967"/>
    <w:rsid w:val="00682DB6"/>
    <w:rsid w:val="00687D90"/>
    <w:rsid w:val="006A3AC3"/>
    <w:rsid w:val="006B327F"/>
    <w:rsid w:val="006D7982"/>
    <w:rsid w:val="006D7C97"/>
    <w:rsid w:val="006F6914"/>
    <w:rsid w:val="00702BA5"/>
    <w:rsid w:val="00710F1F"/>
    <w:rsid w:val="00713C6D"/>
    <w:rsid w:val="00723CDF"/>
    <w:rsid w:val="00726180"/>
    <w:rsid w:val="0073519F"/>
    <w:rsid w:val="00740134"/>
    <w:rsid w:val="0074623F"/>
    <w:rsid w:val="00765D6A"/>
    <w:rsid w:val="00771EB9"/>
    <w:rsid w:val="00776A22"/>
    <w:rsid w:val="00786A15"/>
    <w:rsid w:val="00793C96"/>
    <w:rsid w:val="007943F9"/>
    <w:rsid w:val="00795C63"/>
    <w:rsid w:val="007A03D3"/>
    <w:rsid w:val="007A0EB4"/>
    <w:rsid w:val="007B6A13"/>
    <w:rsid w:val="007B7901"/>
    <w:rsid w:val="007D599B"/>
    <w:rsid w:val="007D6CA5"/>
    <w:rsid w:val="007E5C2B"/>
    <w:rsid w:val="007F141D"/>
    <w:rsid w:val="007F259A"/>
    <w:rsid w:val="00820BBB"/>
    <w:rsid w:val="00837010"/>
    <w:rsid w:val="008415FE"/>
    <w:rsid w:val="00845238"/>
    <w:rsid w:val="008453EE"/>
    <w:rsid w:val="00854749"/>
    <w:rsid w:val="00857072"/>
    <w:rsid w:val="00860A85"/>
    <w:rsid w:val="008636B9"/>
    <w:rsid w:val="00865EE7"/>
    <w:rsid w:val="008660B5"/>
    <w:rsid w:val="00871268"/>
    <w:rsid w:val="00880B4C"/>
    <w:rsid w:val="00880B81"/>
    <w:rsid w:val="0088695F"/>
    <w:rsid w:val="00891BF2"/>
    <w:rsid w:val="008A6085"/>
    <w:rsid w:val="008B493C"/>
    <w:rsid w:val="008C4DFD"/>
    <w:rsid w:val="008D18AC"/>
    <w:rsid w:val="008E21B3"/>
    <w:rsid w:val="008E4F0C"/>
    <w:rsid w:val="008E713B"/>
    <w:rsid w:val="008F7199"/>
    <w:rsid w:val="00921CC5"/>
    <w:rsid w:val="00934C93"/>
    <w:rsid w:val="00941125"/>
    <w:rsid w:val="00945069"/>
    <w:rsid w:val="009478B5"/>
    <w:rsid w:val="00947B35"/>
    <w:rsid w:val="0095423C"/>
    <w:rsid w:val="00957365"/>
    <w:rsid w:val="00960969"/>
    <w:rsid w:val="009703F8"/>
    <w:rsid w:val="009725B0"/>
    <w:rsid w:val="009727D4"/>
    <w:rsid w:val="00986497"/>
    <w:rsid w:val="00986888"/>
    <w:rsid w:val="00986AC6"/>
    <w:rsid w:val="0099263E"/>
    <w:rsid w:val="00992F26"/>
    <w:rsid w:val="009A464A"/>
    <w:rsid w:val="009B0246"/>
    <w:rsid w:val="009B28B0"/>
    <w:rsid w:val="009C2479"/>
    <w:rsid w:val="009C726A"/>
    <w:rsid w:val="009D1930"/>
    <w:rsid w:val="009E2B63"/>
    <w:rsid w:val="009E306B"/>
    <w:rsid w:val="009E5528"/>
    <w:rsid w:val="009F0EDC"/>
    <w:rsid w:val="00A01161"/>
    <w:rsid w:val="00A06AD9"/>
    <w:rsid w:val="00A3179F"/>
    <w:rsid w:val="00A344B2"/>
    <w:rsid w:val="00A3506D"/>
    <w:rsid w:val="00A4650F"/>
    <w:rsid w:val="00A6682E"/>
    <w:rsid w:val="00A67245"/>
    <w:rsid w:val="00A7236C"/>
    <w:rsid w:val="00A77983"/>
    <w:rsid w:val="00A82CB6"/>
    <w:rsid w:val="00A84CEA"/>
    <w:rsid w:val="00AB2C92"/>
    <w:rsid w:val="00AB59DF"/>
    <w:rsid w:val="00AC7C45"/>
    <w:rsid w:val="00AD0233"/>
    <w:rsid w:val="00AD5258"/>
    <w:rsid w:val="00AD7019"/>
    <w:rsid w:val="00AE0FCA"/>
    <w:rsid w:val="00AE121E"/>
    <w:rsid w:val="00AE3107"/>
    <w:rsid w:val="00AE7C71"/>
    <w:rsid w:val="00AF6594"/>
    <w:rsid w:val="00AF67C8"/>
    <w:rsid w:val="00B013C7"/>
    <w:rsid w:val="00B22C8B"/>
    <w:rsid w:val="00B23121"/>
    <w:rsid w:val="00B307B8"/>
    <w:rsid w:val="00B313C6"/>
    <w:rsid w:val="00B44361"/>
    <w:rsid w:val="00B514AC"/>
    <w:rsid w:val="00B52865"/>
    <w:rsid w:val="00B55FE2"/>
    <w:rsid w:val="00B76FF8"/>
    <w:rsid w:val="00B86413"/>
    <w:rsid w:val="00B87450"/>
    <w:rsid w:val="00B87D57"/>
    <w:rsid w:val="00BC1380"/>
    <w:rsid w:val="00BD04DB"/>
    <w:rsid w:val="00BD2ABF"/>
    <w:rsid w:val="00BD34B0"/>
    <w:rsid w:val="00BD39B1"/>
    <w:rsid w:val="00BE06F2"/>
    <w:rsid w:val="00BE1A5C"/>
    <w:rsid w:val="00C06D25"/>
    <w:rsid w:val="00C11319"/>
    <w:rsid w:val="00C13B89"/>
    <w:rsid w:val="00C15E9B"/>
    <w:rsid w:val="00C21106"/>
    <w:rsid w:val="00C257D2"/>
    <w:rsid w:val="00C26B9E"/>
    <w:rsid w:val="00C32CC8"/>
    <w:rsid w:val="00C33A4A"/>
    <w:rsid w:val="00C370B9"/>
    <w:rsid w:val="00C3728E"/>
    <w:rsid w:val="00C4471C"/>
    <w:rsid w:val="00C4694B"/>
    <w:rsid w:val="00C5098D"/>
    <w:rsid w:val="00C64140"/>
    <w:rsid w:val="00C66E0B"/>
    <w:rsid w:val="00C747D2"/>
    <w:rsid w:val="00C82532"/>
    <w:rsid w:val="00C845A8"/>
    <w:rsid w:val="00C8566B"/>
    <w:rsid w:val="00CA17C2"/>
    <w:rsid w:val="00CB3EDA"/>
    <w:rsid w:val="00CC0B07"/>
    <w:rsid w:val="00CC5B50"/>
    <w:rsid w:val="00CC7B8B"/>
    <w:rsid w:val="00CD01C3"/>
    <w:rsid w:val="00CE0BD9"/>
    <w:rsid w:val="00CE1AC2"/>
    <w:rsid w:val="00CE45D0"/>
    <w:rsid w:val="00CE60FB"/>
    <w:rsid w:val="00CF318A"/>
    <w:rsid w:val="00CF5638"/>
    <w:rsid w:val="00D01D9D"/>
    <w:rsid w:val="00D01FF1"/>
    <w:rsid w:val="00D03087"/>
    <w:rsid w:val="00D03EB4"/>
    <w:rsid w:val="00D04495"/>
    <w:rsid w:val="00D04B47"/>
    <w:rsid w:val="00D052CA"/>
    <w:rsid w:val="00D06971"/>
    <w:rsid w:val="00D25F03"/>
    <w:rsid w:val="00D34396"/>
    <w:rsid w:val="00D40916"/>
    <w:rsid w:val="00D55D72"/>
    <w:rsid w:val="00D567ED"/>
    <w:rsid w:val="00D618C7"/>
    <w:rsid w:val="00D62B98"/>
    <w:rsid w:val="00D659C9"/>
    <w:rsid w:val="00D73272"/>
    <w:rsid w:val="00D847E4"/>
    <w:rsid w:val="00D8630B"/>
    <w:rsid w:val="00D94F72"/>
    <w:rsid w:val="00DA1EDA"/>
    <w:rsid w:val="00DA3252"/>
    <w:rsid w:val="00DA4951"/>
    <w:rsid w:val="00DB1FE2"/>
    <w:rsid w:val="00DB2461"/>
    <w:rsid w:val="00DC1703"/>
    <w:rsid w:val="00DC208A"/>
    <w:rsid w:val="00DC27E7"/>
    <w:rsid w:val="00DC53E7"/>
    <w:rsid w:val="00DE6613"/>
    <w:rsid w:val="00DF3877"/>
    <w:rsid w:val="00DF4C74"/>
    <w:rsid w:val="00DF5229"/>
    <w:rsid w:val="00E0282D"/>
    <w:rsid w:val="00E1108B"/>
    <w:rsid w:val="00E23666"/>
    <w:rsid w:val="00E26313"/>
    <w:rsid w:val="00E332E0"/>
    <w:rsid w:val="00E40B59"/>
    <w:rsid w:val="00E424F0"/>
    <w:rsid w:val="00E57157"/>
    <w:rsid w:val="00E6210C"/>
    <w:rsid w:val="00E73A37"/>
    <w:rsid w:val="00E73B7C"/>
    <w:rsid w:val="00E802FF"/>
    <w:rsid w:val="00E815AE"/>
    <w:rsid w:val="00E82BE1"/>
    <w:rsid w:val="00E92233"/>
    <w:rsid w:val="00E927B1"/>
    <w:rsid w:val="00E92879"/>
    <w:rsid w:val="00E928D1"/>
    <w:rsid w:val="00E928EF"/>
    <w:rsid w:val="00E972B8"/>
    <w:rsid w:val="00EA51C1"/>
    <w:rsid w:val="00EB7310"/>
    <w:rsid w:val="00EB7C3C"/>
    <w:rsid w:val="00ED0B20"/>
    <w:rsid w:val="00EE2B70"/>
    <w:rsid w:val="00EE3345"/>
    <w:rsid w:val="00EF4796"/>
    <w:rsid w:val="00EF7359"/>
    <w:rsid w:val="00F0226B"/>
    <w:rsid w:val="00F03142"/>
    <w:rsid w:val="00F073D3"/>
    <w:rsid w:val="00F23B2C"/>
    <w:rsid w:val="00F24F35"/>
    <w:rsid w:val="00F24FD3"/>
    <w:rsid w:val="00F32067"/>
    <w:rsid w:val="00F531E1"/>
    <w:rsid w:val="00F561D6"/>
    <w:rsid w:val="00F62972"/>
    <w:rsid w:val="00F63830"/>
    <w:rsid w:val="00F639D8"/>
    <w:rsid w:val="00F64AAF"/>
    <w:rsid w:val="00F66620"/>
    <w:rsid w:val="00F66706"/>
    <w:rsid w:val="00F7199C"/>
    <w:rsid w:val="00F745A3"/>
    <w:rsid w:val="00F811D8"/>
    <w:rsid w:val="00F96A91"/>
    <w:rsid w:val="00FA2E6E"/>
    <w:rsid w:val="00FA3B97"/>
    <w:rsid w:val="00FA4587"/>
    <w:rsid w:val="00FA4786"/>
    <w:rsid w:val="00FA59D1"/>
    <w:rsid w:val="00FB37CB"/>
    <w:rsid w:val="00FB4C3C"/>
    <w:rsid w:val="00FC6247"/>
    <w:rsid w:val="00FC7513"/>
    <w:rsid w:val="00FD249C"/>
    <w:rsid w:val="00FD545C"/>
    <w:rsid w:val="00FF1A11"/>
    <w:rsid w:val="00FF43A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3E164"/>
  <w15:docId w15:val="{57A7A839-FF07-4C37-BF31-EB572666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NormalWeb">
    <w:name w:val="Normal (Web)"/>
    <w:basedOn w:val="Normal"/>
    <w:uiPriority w:val="99"/>
    <w:unhideWhenUsed/>
    <w:rsid w:val="00845238"/>
    <w:pPr>
      <w:spacing w:before="100" w:beforeAutospacing="1" w:after="100" w:afterAutospacing="1" w:line="240" w:lineRule="auto"/>
    </w:pPr>
    <w:rPr>
      <w:rFonts w:ascii="Times New Roman" w:eastAsia="Times New Roman" w:hAnsi="Times New Roman" w:cs="Times New Roman"/>
      <w:sz w:val="24"/>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25323">
      <w:bodyDiv w:val="1"/>
      <w:marLeft w:val="0"/>
      <w:marRight w:val="0"/>
      <w:marTop w:val="0"/>
      <w:marBottom w:val="0"/>
      <w:divBdr>
        <w:top w:val="none" w:sz="0" w:space="0" w:color="auto"/>
        <w:left w:val="none" w:sz="0" w:space="0" w:color="auto"/>
        <w:bottom w:val="none" w:sz="0" w:space="0" w:color="auto"/>
        <w:right w:val="none" w:sz="0" w:space="0" w:color="auto"/>
      </w:divBdr>
      <w:divsChild>
        <w:div w:id="719549305">
          <w:marLeft w:val="0"/>
          <w:marRight w:val="0"/>
          <w:marTop w:val="0"/>
          <w:marBottom w:val="0"/>
          <w:divBdr>
            <w:top w:val="none" w:sz="0" w:space="0" w:color="auto"/>
            <w:left w:val="none" w:sz="0" w:space="0" w:color="auto"/>
            <w:bottom w:val="none" w:sz="0" w:space="0" w:color="auto"/>
            <w:right w:val="none" w:sz="0" w:space="0" w:color="auto"/>
          </w:divBdr>
          <w:divsChild>
            <w:div w:id="13072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6310">
      <w:bodyDiv w:val="1"/>
      <w:marLeft w:val="0"/>
      <w:marRight w:val="0"/>
      <w:marTop w:val="0"/>
      <w:marBottom w:val="0"/>
      <w:divBdr>
        <w:top w:val="none" w:sz="0" w:space="0" w:color="auto"/>
        <w:left w:val="none" w:sz="0" w:space="0" w:color="auto"/>
        <w:bottom w:val="none" w:sz="0" w:space="0" w:color="auto"/>
        <w:right w:val="none" w:sz="0" w:space="0" w:color="auto"/>
      </w:divBdr>
      <w:divsChild>
        <w:div w:id="1396929124">
          <w:marLeft w:val="0"/>
          <w:marRight w:val="0"/>
          <w:marTop w:val="0"/>
          <w:marBottom w:val="0"/>
          <w:divBdr>
            <w:top w:val="none" w:sz="0" w:space="0" w:color="auto"/>
            <w:left w:val="none" w:sz="0" w:space="0" w:color="auto"/>
            <w:bottom w:val="none" w:sz="0" w:space="0" w:color="auto"/>
            <w:right w:val="none" w:sz="0" w:space="0" w:color="auto"/>
          </w:divBdr>
          <w:divsChild>
            <w:div w:id="1814789945">
              <w:marLeft w:val="0"/>
              <w:marRight w:val="0"/>
              <w:marTop w:val="2070"/>
              <w:marBottom w:val="0"/>
              <w:divBdr>
                <w:top w:val="none" w:sz="0" w:space="0" w:color="auto"/>
                <w:left w:val="none" w:sz="0" w:space="0" w:color="auto"/>
                <w:bottom w:val="none" w:sz="0" w:space="0" w:color="auto"/>
                <w:right w:val="none" w:sz="0" w:space="0" w:color="auto"/>
              </w:divBdr>
            </w:div>
          </w:divsChild>
        </w:div>
      </w:divsChild>
    </w:div>
    <w:div w:id="224874054">
      <w:bodyDiv w:val="1"/>
      <w:marLeft w:val="0"/>
      <w:marRight w:val="0"/>
      <w:marTop w:val="0"/>
      <w:marBottom w:val="0"/>
      <w:divBdr>
        <w:top w:val="none" w:sz="0" w:space="0" w:color="auto"/>
        <w:left w:val="none" w:sz="0" w:space="0" w:color="auto"/>
        <w:bottom w:val="none" w:sz="0" w:space="0" w:color="auto"/>
        <w:right w:val="none" w:sz="0" w:space="0" w:color="auto"/>
      </w:divBdr>
      <w:divsChild>
        <w:div w:id="128522042">
          <w:marLeft w:val="0"/>
          <w:marRight w:val="0"/>
          <w:marTop w:val="0"/>
          <w:marBottom w:val="0"/>
          <w:divBdr>
            <w:top w:val="none" w:sz="0" w:space="0" w:color="auto"/>
            <w:left w:val="none" w:sz="0" w:space="0" w:color="auto"/>
            <w:bottom w:val="none" w:sz="0" w:space="0" w:color="auto"/>
            <w:right w:val="none" w:sz="0" w:space="0" w:color="auto"/>
          </w:divBdr>
          <w:divsChild>
            <w:div w:id="7156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21285">
      <w:bodyDiv w:val="1"/>
      <w:marLeft w:val="0"/>
      <w:marRight w:val="0"/>
      <w:marTop w:val="0"/>
      <w:marBottom w:val="0"/>
      <w:divBdr>
        <w:top w:val="none" w:sz="0" w:space="0" w:color="auto"/>
        <w:left w:val="none" w:sz="0" w:space="0" w:color="auto"/>
        <w:bottom w:val="none" w:sz="0" w:space="0" w:color="auto"/>
        <w:right w:val="none" w:sz="0" w:space="0" w:color="auto"/>
      </w:divBdr>
      <w:divsChild>
        <w:div w:id="936795784">
          <w:marLeft w:val="0"/>
          <w:marRight w:val="0"/>
          <w:marTop w:val="0"/>
          <w:marBottom w:val="0"/>
          <w:divBdr>
            <w:top w:val="none" w:sz="0" w:space="0" w:color="auto"/>
            <w:left w:val="none" w:sz="0" w:space="0" w:color="auto"/>
            <w:bottom w:val="none" w:sz="0" w:space="0" w:color="auto"/>
            <w:right w:val="none" w:sz="0" w:space="0" w:color="auto"/>
          </w:divBdr>
          <w:divsChild>
            <w:div w:id="73286138">
              <w:marLeft w:val="0"/>
              <w:marRight w:val="0"/>
              <w:marTop w:val="2070"/>
              <w:marBottom w:val="0"/>
              <w:divBdr>
                <w:top w:val="none" w:sz="0" w:space="0" w:color="auto"/>
                <w:left w:val="none" w:sz="0" w:space="0" w:color="auto"/>
                <w:bottom w:val="none" w:sz="0" w:space="0" w:color="auto"/>
                <w:right w:val="none" w:sz="0" w:space="0" w:color="auto"/>
              </w:divBdr>
            </w:div>
          </w:divsChild>
        </w:div>
      </w:divsChild>
    </w:div>
    <w:div w:id="451560195">
      <w:bodyDiv w:val="1"/>
      <w:marLeft w:val="0"/>
      <w:marRight w:val="0"/>
      <w:marTop w:val="0"/>
      <w:marBottom w:val="0"/>
      <w:divBdr>
        <w:top w:val="none" w:sz="0" w:space="0" w:color="auto"/>
        <w:left w:val="none" w:sz="0" w:space="0" w:color="auto"/>
        <w:bottom w:val="none" w:sz="0" w:space="0" w:color="auto"/>
        <w:right w:val="none" w:sz="0" w:space="0" w:color="auto"/>
      </w:divBdr>
      <w:divsChild>
        <w:div w:id="1519587206">
          <w:marLeft w:val="0"/>
          <w:marRight w:val="0"/>
          <w:marTop w:val="0"/>
          <w:marBottom w:val="0"/>
          <w:divBdr>
            <w:top w:val="none" w:sz="0" w:space="0" w:color="auto"/>
            <w:left w:val="none" w:sz="0" w:space="0" w:color="auto"/>
            <w:bottom w:val="none" w:sz="0" w:space="0" w:color="auto"/>
            <w:right w:val="none" w:sz="0" w:space="0" w:color="auto"/>
          </w:divBdr>
          <w:divsChild>
            <w:div w:id="161640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32187">
      <w:bodyDiv w:val="1"/>
      <w:marLeft w:val="0"/>
      <w:marRight w:val="0"/>
      <w:marTop w:val="0"/>
      <w:marBottom w:val="0"/>
      <w:divBdr>
        <w:top w:val="none" w:sz="0" w:space="0" w:color="auto"/>
        <w:left w:val="none" w:sz="0" w:space="0" w:color="auto"/>
        <w:bottom w:val="none" w:sz="0" w:space="0" w:color="auto"/>
        <w:right w:val="none" w:sz="0" w:space="0" w:color="auto"/>
      </w:divBdr>
    </w:div>
    <w:div w:id="1250968161">
      <w:bodyDiv w:val="1"/>
      <w:marLeft w:val="0"/>
      <w:marRight w:val="0"/>
      <w:marTop w:val="0"/>
      <w:marBottom w:val="0"/>
      <w:divBdr>
        <w:top w:val="none" w:sz="0" w:space="0" w:color="auto"/>
        <w:left w:val="none" w:sz="0" w:space="0" w:color="auto"/>
        <w:bottom w:val="none" w:sz="0" w:space="0" w:color="auto"/>
        <w:right w:val="none" w:sz="0" w:space="0" w:color="auto"/>
      </w:divBdr>
      <w:divsChild>
        <w:div w:id="1698198298">
          <w:marLeft w:val="0"/>
          <w:marRight w:val="0"/>
          <w:marTop w:val="0"/>
          <w:marBottom w:val="0"/>
          <w:divBdr>
            <w:top w:val="none" w:sz="0" w:space="0" w:color="auto"/>
            <w:left w:val="none" w:sz="0" w:space="0" w:color="auto"/>
            <w:bottom w:val="none" w:sz="0" w:space="0" w:color="auto"/>
            <w:right w:val="none" w:sz="0" w:space="0" w:color="auto"/>
          </w:divBdr>
          <w:divsChild>
            <w:div w:id="1172450867">
              <w:marLeft w:val="0"/>
              <w:marRight w:val="0"/>
              <w:marTop w:val="0"/>
              <w:marBottom w:val="0"/>
              <w:divBdr>
                <w:top w:val="none" w:sz="0" w:space="0" w:color="auto"/>
                <w:left w:val="none" w:sz="0" w:space="0" w:color="auto"/>
                <w:bottom w:val="none" w:sz="0" w:space="0" w:color="auto"/>
                <w:right w:val="none" w:sz="0" w:space="0" w:color="auto"/>
              </w:divBdr>
              <w:divsChild>
                <w:div w:id="2022655890">
                  <w:marLeft w:val="0"/>
                  <w:marRight w:val="0"/>
                  <w:marTop w:val="0"/>
                  <w:marBottom w:val="0"/>
                  <w:divBdr>
                    <w:top w:val="none" w:sz="0" w:space="0" w:color="auto"/>
                    <w:left w:val="none" w:sz="0" w:space="0" w:color="auto"/>
                    <w:bottom w:val="none" w:sz="0" w:space="0" w:color="auto"/>
                    <w:right w:val="none" w:sz="0" w:space="0" w:color="auto"/>
                  </w:divBdr>
                  <w:divsChild>
                    <w:div w:id="9994185">
                      <w:marLeft w:val="0"/>
                      <w:marRight w:val="0"/>
                      <w:marTop w:val="0"/>
                      <w:marBottom w:val="0"/>
                      <w:divBdr>
                        <w:top w:val="none" w:sz="0" w:space="0" w:color="auto"/>
                        <w:left w:val="none" w:sz="0" w:space="0" w:color="auto"/>
                        <w:bottom w:val="none" w:sz="0" w:space="0" w:color="auto"/>
                        <w:right w:val="none" w:sz="0" w:space="0" w:color="auto"/>
                      </w:divBdr>
                      <w:divsChild>
                        <w:div w:id="1185247854">
                          <w:marLeft w:val="0"/>
                          <w:marRight w:val="0"/>
                          <w:marTop w:val="0"/>
                          <w:marBottom w:val="0"/>
                          <w:divBdr>
                            <w:top w:val="none" w:sz="0" w:space="0" w:color="auto"/>
                            <w:left w:val="none" w:sz="0" w:space="0" w:color="auto"/>
                            <w:bottom w:val="none" w:sz="0" w:space="0" w:color="auto"/>
                            <w:right w:val="none" w:sz="0" w:space="0" w:color="auto"/>
                          </w:divBdr>
                          <w:divsChild>
                            <w:div w:id="420491336">
                              <w:marLeft w:val="0"/>
                              <w:marRight w:val="0"/>
                              <w:marTop w:val="0"/>
                              <w:marBottom w:val="0"/>
                              <w:divBdr>
                                <w:top w:val="none" w:sz="0" w:space="0" w:color="auto"/>
                                <w:left w:val="none" w:sz="0" w:space="0" w:color="auto"/>
                                <w:bottom w:val="none" w:sz="0" w:space="0" w:color="auto"/>
                                <w:right w:val="none" w:sz="0" w:space="0" w:color="auto"/>
                              </w:divBdr>
                              <w:divsChild>
                                <w:div w:id="1028221370">
                                  <w:marLeft w:val="0"/>
                                  <w:marRight w:val="0"/>
                                  <w:marTop w:val="0"/>
                                  <w:marBottom w:val="0"/>
                                  <w:divBdr>
                                    <w:top w:val="none" w:sz="0" w:space="0" w:color="auto"/>
                                    <w:left w:val="none" w:sz="0" w:space="0" w:color="auto"/>
                                    <w:bottom w:val="none" w:sz="0" w:space="0" w:color="auto"/>
                                    <w:right w:val="none" w:sz="0" w:space="0" w:color="auto"/>
                                  </w:divBdr>
                                  <w:divsChild>
                                    <w:div w:id="13141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8566346">
      <w:bodyDiv w:val="1"/>
      <w:marLeft w:val="0"/>
      <w:marRight w:val="0"/>
      <w:marTop w:val="0"/>
      <w:marBottom w:val="0"/>
      <w:divBdr>
        <w:top w:val="none" w:sz="0" w:space="0" w:color="auto"/>
        <w:left w:val="none" w:sz="0" w:space="0" w:color="auto"/>
        <w:bottom w:val="none" w:sz="0" w:space="0" w:color="auto"/>
        <w:right w:val="none" w:sz="0" w:space="0" w:color="auto"/>
      </w:divBdr>
    </w:div>
    <w:div w:id="1953975183">
      <w:bodyDiv w:val="1"/>
      <w:marLeft w:val="0"/>
      <w:marRight w:val="0"/>
      <w:marTop w:val="0"/>
      <w:marBottom w:val="0"/>
      <w:divBdr>
        <w:top w:val="none" w:sz="0" w:space="0" w:color="auto"/>
        <w:left w:val="none" w:sz="0" w:space="0" w:color="auto"/>
        <w:bottom w:val="none" w:sz="0" w:space="0" w:color="auto"/>
        <w:right w:val="none" w:sz="0" w:space="0" w:color="auto"/>
      </w:divBdr>
      <w:divsChild>
        <w:div w:id="1423181974">
          <w:marLeft w:val="0"/>
          <w:marRight w:val="0"/>
          <w:marTop w:val="0"/>
          <w:marBottom w:val="0"/>
          <w:divBdr>
            <w:top w:val="none" w:sz="0" w:space="0" w:color="auto"/>
            <w:left w:val="none" w:sz="0" w:space="0" w:color="auto"/>
            <w:bottom w:val="none" w:sz="0" w:space="0" w:color="auto"/>
            <w:right w:val="none" w:sz="0" w:space="0" w:color="auto"/>
          </w:divBdr>
          <w:divsChild>
            <w:div w:id="360207925">
              <w:marLeft w:val="0"/>
              <w:marRight w:val="0"/>
              <w:marTop w:val="0"/>
              <w:marBottom w:val="0"/>
              <w:divBdr>
                <w:top w:val="none" w:sz="0" w:space="0" w:color="auto"/>
                <w:left w:val="none" w:sz="0" w:space="0" w:color="auto"/>
                <w:bottom w:val="none" w:sz="0" w:space="0" w:color="auto"/>
                <w:right w:val="none" w:sz="0" w:space="0" w:color="auto"/>
              </w:divBdr>
              <w:divsChild>
                <w:div w:id="1282032532">
                  <w:marLeft w:val="0"/>
                  <w:marRight w:val="0"/>
                  <w:marTop w:val="0"/>
                  <w:marBottom w:val="0"/>
                  <w:divBdr>
                    <w:top w:val="none" w:sz="0" w:space="0" w:color="auto"/>
                    <w:left w:val="none" w:sz="0" w:space="0" w:color="auto"/>
                    <w:bottom w:val="none" w:sz="0" w:space="0" w:color="auto"/>
                    <w:right w:val="none" w:sz="0" w:space="0" w:color="auto"/>
                  </w:divBdr>
                  <w:divsChild>
                    <w:div w:id="1509976307">
                      <w:marLeft w:val="0"/>
                      <w:marRight w:val="0"/>
                      <w:marTop w:val="0"/>
                      <w:marBottom w:val="0"/>
                      <w:divBdr>
                        <w:top w:val="none" w:sz="0" w:space="0" w:color="auto"/>
                        <w:left w:val="none" w:sz="0" w:space="0" w:color="auto"/>
                        <w:bottom w:val="none" w:sz="0" w:space="0" w:color="auto"/>
                        <w:right w:val="none" w:sz="0" w:space="0" w:color="auto"/>
                      </w:divBdr>
                      <w:divsChild>
                        <w:div w:id="290281727">
                          <w:marLeft w:val="0"/>
                          <w:marRight w:val="0"/>
                          <w:marTop w:val="0"/>
                          <w:marBottom w:val="0"/>
                          <w:divBdr>
                            <w:top w:val="none" w:sz="0" w:space="0" w:color="auto"/>
                            <w:left w:val="none" w:sz="0" w:space="0" w:color="auto"/>
                            <w:bottom w:val="none" w:sz="0" w:space="0" w:color="auto"/>
                            <w:right w:val="none" w:sz="0" w:space="0" w:color="auto"/>
                          </w:divBdr>
                          <w:divsChild>
                            <w:div w:id="1241982062">
                              <w:marLeft w:val="0"/>
                              <w:marRight w:val="0"/>
                              <w:marTop w:val="0"/>
                              <w:marBottom w:val="0"/>
                              <w:divBdr>
                                <w:top w:val="none" w:sz="0" w:space="0" w:color="auto"/>
                                <w:left w:val="none" w:sz="0" w:space="0" w:color="auto"/>
                                <w:bottom w:val="none" w:sz="0" w:space="0" w:color="auto"/>
                                <w:right w:val="none" w:sz="0" w:space="0" w:color="auto"/>
                              </w:divBdr>
                              <w:divsChild>
                                <w:div w:id="269822130">
                                  <w:marLeft w:val="0"/>
                                  <w:marRight w:val="0"/>
                                  <w:marTop w:val="0"/>
                                  <w:marBottom w:val="0"/>
                                  <w:divBdr>
                                    <w:top w:val="none" w:sz="0" w:space="0" w:color="auto"/>
                                    <w:left w:val="none" w:sz="0" w:space="0" w:color="auto"/>
                                    <w:bottom w:val="none" w:sz="0" w:space="0" w:color="auto"/>
                                    <w:right w:val="none" w:sz="0" w:space="0" w:color="auto"/>
                                  </w:divBdr>
                                  <w:divsChild>
                                    <w:div w:id="76187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hel.abcprocure.com/EPR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http://www.bh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B6D7E-9CD5-4508-8091-5B05C24A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3</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1295314</dc:creator>
  <cp:lastModifiedBy>Himanshu Kanaskar</cp:lastModifiedBy>
  <cp:revision>314</cp:revision>
  <cp:lastPrinted>2017-07-06T09:01:00Z</cp:lastPrinted>
  <dcterms:created xsi:type="dcterms:W3CDTF">2018-03-04T05:56:00Z</dcterms:created>
  <dcterms:modified xsi:type="dcterms:W3CDTF">2020-07-23T05:49:00Z</dcterms:modified>
</cp:coreProperties>
</file>